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310268</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Xiamen,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9 - 13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October</w:t>
      </w:r>
      <w:r>
        <w:rPr>
          <w:rFonts w:ascii="Arial" w:hAnsi="Arial" w:eastAsia="宋体" w:cs="Arial"/>
          <w:b/>
          <w:bCs/>
          <w:kern w:val="0"/>
          <w:sz w:val="24"/>
          <w:szCs w:val="24"/>
          <w:lang w:val="en-GB"/>
        </w:rPr>
        <w:t xml:space="preserve">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remaining open issues for subsequent CPAC</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before="120" w:beforeLines="50" w:after="180"/>
        <w:rPr>
          <w:rFonts w:ascii="Arial" w:hAnsi="Arial" w:eastAsia="宋体" w:cs="Arial"/>
          <w:kern w:val="0"/>
          <w:sz w:val="21"/>
          <w:szCs w:val="21"/>
          <w:lang w:val="en-GB"/>
        </w:rPr>
      </w:pPr>
      <w:r>
        <w:rPr>
          <w:rFonts w:ascii="Arial" w:hAnsi="Arial" w:eastAsia="宋体" w:cs="Arial"/>
          <w:kern w:val="0"/>
          <w:sz w:val="21"/>
          <w:szCs w:val="21"/>
          <w:lang w:val="en-GB" w:eastAsia="en-US"/>
        </w:rPr>
        <w:t xml:space="preserve">In </w:t>
      </w:r>
      <w:r>
        <w:rPr>
          <w:rFonts w:hint="eastAsia" w:ascii="Arial" w:hAnsi="Arial" w:eastAsia="宋体" w:cs="Arial"/>
          <w:kern w:val="0"/>
          <w:sz w:val="21"/>
          <w:szCs w:val="21"/>
          <w:lang w:val="en-US" w:eastAsia="zh-CN"/>
        </w:rPr>
        <w:t>last meeting [1]</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rPr>
        <w:t xml:space="preserve">RAN2 discussed the </w:t>
      </w:r>
      <w:r>
        <w:rPr>
          <w:rFonts w:hint="eastAsia" w:ascii="Arial" w:hAnsi="Arial" w:eastAsia="宋体" w:cs="Arial"/>
          <w:kern w:val="0"/>
          <w:sz w:val="21"/>
          <w:szCs w:val="21"/>
          <w:lang w:val="en-US" w:eastAsia="zh-CN"/>
        </w:rPr>
        <w:t>MN/SN-initiated subsequent CPAC procedure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release of configuration</w:t>
      </w:r>
      <w:r>
        <w:rPr>
          <w:rFonts w:hint="eastAsia" w:ascii="Arial" w:hAnsi="Arial" w:eastAsia="宋体" w:cs="Arial"/>
          <w:kern w:val="0"/>
          <w:sz w:val="21"/>
          <w:szCs w:val="21"/>
        </w:rPr>
        <w:t xml:space="preserve"> and security issu</w:t>
      </w:r>
      <w:r>
        <w:rPr>
          <w:rFonts w:hint="eastAsia" w:ascii="Arial" w:hAnsi="Arial" w:eastAsia="宋体" w:cs="Arial"/>
          <w:kern w:val="0"/>
          <w:sz w:val="21"/>
          <w:szCs w:val="21"/>
          <w:lang w:val="en-US" w:eastAsia="zh-CN"/>
        </w:rPr>
        <w:t>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As indicated by Rapporteur in RAN2 reflector, here is the list of remaining open issues for subsequent CPAC</w:t>
      </w:r>
      <w:r>
        <w:rPr>
          <w:rFonts w:ascii="Arial" w:hAnsi="Arial" w:eastAsia="宋体" w:cs="Arial"/>
          <w:kern w:val="0"/>
          <w:sz w:val="21"/>
          <w:szCs w:val="21"/>
          <w:lang w:val="en-GB"/>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hd w:val="clear" w:fill="FFFFFF"/>
              <w:spacing w:before="0" w:beforeAutospacing="0" w:after="0" w:afterAutospacing="0"/>
              <w:ind w:left="0" w:right="0" w:firstLine="0"/>
              <w:jc w:val="left"/>
              <w:rPr>
                <w:rFonts w:hint="default" w:ascii="Arial" w:hAnsi="Arial" w:cs="Arial"/>
                <w:i w:val="0"/>
                <w:iCs w:val="0"/>
                <w:caps w:val="0"/>
                <w:color w:val="000000"/>
                <w:spacing w:val="0"/>
                <w:sz w:val="20"/>
                <w:szCs w:val="20"/>
              </w:rPr>
            </w:pPr>
            <w:r>
              <w:rPr>
                <w:rFonts w:hint="default" w:ascii="Arial" w:hAnsi="Arial" w:cs="Arial" w:eastAsiaTheme="minorEastAsia"/>
                <w:i w:val="0"/>
                <w:iCs w:val="0"/>
                <w:caps w:val="0"/>
                <w:color w:val="000000"/>
                <w:spacing w:val="0"/>
                <w:kern w:val="0"/>
                <w:sz w:val="20"/>
                <w:szCs w:val="20"/>
                <w:u w:val="single"/>
                <w:shd w:val="clear" w:fill="FFFFFF"/>
                <w:lang w:val="en-US" w:eastAsia="zh-CN" w:bidi="ar"/>
              </w:rPr>
              <w:t>Subsequent CPAC in NR-DC</w:t>
            </w:r>
          </w:p>
          <w:p>
            <w:pPr>
              <w:keepNext w:val="0"/>
              <w:keepLines w:val="0"/>
              <w:widowControl/>
              <w:numPr>
                <w:ilvl w:val="0"/>
                <w:numId w:val="4"/>
              </w:numPr>
              <w:suppressLineNumbers w:val="0"/>
              <w:spacing w:before="0" w:beforeAutospacing="0" w:after="0" w:afterAutospacing="0" w:line="133" w:lineRule="atLeast"/>
              <w:ind w:left="78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Reference SCG configuration (Optionality FFS). Assume as for LTM Reference configuration may be empty.</w:t>
            </w:r>
          </w:p>
          <w:p>
            <w:pPr>
              <w:keepNext w:val="0"/>
              <w:keepLines w:val="0"/>
              <w:widowControl/>
              <w:numPr>
                <w:ilvl w:val="1"/>
                <w:numId w:val="4"/>
              </w:numPr>
              <w:suppressLineNumbers w:val="0"/>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whether MCG configuration is included.</w:t>
            </w:r>
          </w:p>
          <w:p>
            <w:pPr>
              <w:keepNext w:val="0"/>
              <w:keepLines w:val="0"/>
              <w:widowControl/>
              <w:numPr>
                <w:ilvl w:val="1"/>
                <w:numId w:val="4"/>
              </w:numPr>
              <w:suppressLineNumbers w:val="0"/>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RRC model for the reference configuration.</w:t>
            </w:r>
          </w:p>
          <w:p>
            <w:pPr>
              <w:keepNext w:val="0"/>
              <w:keepLines w:val="0"/>
              <w:widowControl/>
              <w:numPr>
                <w:ilvl w:val="0"/>
                <w:numId w:val="4"/>
              </w:numPr>
              <w:suppressLineNumbers w:val="0"/>
              <w:spacing w:before="0" w:beforeAutospacing="0" w:after="0" w:afterAutospacing="0" w:line="133" w:lineRule="atLeast"/>
              <w:ind w:left="78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Stage-3 RRC details</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whether to release intra-SN subsequent CPAC configuration autonomously by UE upon SCG release.</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how to configure the subsequent execution conditions.</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whether to keep candidate evaluation upon transmission of the SCG Failure Information message to the MN.</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following LTM on the complete configuration generation/application related part.</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whether to rely on the full configuration procedure as specified in 5.3.5.11 or new complete configuration procedure when the UE applies a complete configuration.</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the IE/message to transfer the reference configuration</w:t>
            </w:r>
          </w:p>
          <w:p>
            <w:pPr>
              <w:keepNext w:val="0"/>
              <w:keepLines w:val="0"/>
              <w:widowControl/>
              <w:numPr>
                <w:ilvl w:val="1"/>
                <w:numId w:val="5"/>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the IE/message to transfer the candidate info/execution conditions for subsequent execution condition preparation between MN and SN..</w:t>
            </w:r>
          </w:p>
          <w:p>
            <w:pPr>
              <w:keepNext w:val="0"/>
              <w:keepLines w:val="0"/>
              <w:widowControl/>
              <w:numPr>
                <w:ilvl w:val="0"/>
                <w:numId w:val="4"/>
              </w:numPr>
              <w:suppressLineNumbers w:val="0"/>
              <w:spacing w:before="0" w:beforeAutospacing="0" w:after="0" w:afterAutospacing="0" w:line="133" w:lineRule="atLeast"/>
              <w:ind w:left="78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Stage-2 signaling details</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whether to support subsequent CPA</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if to release the conditional reconfigurations in other cases, e.g. at intra-MN PCell change, SCG release, etc.</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whether to support the coexistence of subsequent CPAC and SCG deactivation</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which node initially generates the reference configuration in subsequent CPAC</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how/when to generate execution conditions for subsequent CPC</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whether to support the coexistence of legacy CPA/CPC and subsequent CPAC</w:t>
            </w:r>
          </w:p>
          <w:p>
            <w:pPr>
              <w:keepNext w:val="0"/>
              <w:keepLines w:val="0"/>
              <w:widowControl/>
              <w:numPr>
                <w:ilvl w:val="1"/>
                <w:numId w:val="6"/>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whether to have a separate signaling flow for subsequent CPAC procedure</w:t>
            </w:r>
          </w:p>
          <w:p>
            <w:pPr>
              <w:keepNext w:val="0"/>
              <w:keepLines w:val="0"/>
              <w:widowControl/>
              <w:numPr>
                <w:ilvl w:val="0"/>
                <w:numId w:val="4"/>
              </w:numPr>
              <w:suppressLineNumbers w:val="0"/>
              <w:spacing w:before="0" w:beforeAutospacing="0" w:after="0" w:afterAutospacing="0" w:line="133" w:lineRule="atLeast"/>
              <w:ind w:left="78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Detailed aspects of the security solution</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how to determine the inter-SN mobility for security key update for subsequent CPAC</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how UE select sk-Counter for key update for subsequent CPAC.</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whether and how to inform the selected sk-Counter to MN/SN.</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the handling of used sk-Counter.</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whether to release the configured sk-Counters if subsequent CPAC configuration is released.</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the maximum number of maxSecurityCellSet-r18 and maxSK-Counter-r18.</w:t>
            </w:r>
          </w:p>
          <w:p>
            <w:pPr>
              <w:keepNext w:val="0"/>
              <w:keepLines w:val="0"/>
              <w:widowControl/>
              <w:numPr>
                <w:ilvl w:val="1"/>
                <w:numId w:val="7"/>
              </w:numPr>
              <w:suppressLineNumbers w:val="0"/>
              <w:tabs>
                <w:tab w:val="left" w:pos="1440"/>
              </w:tabs>
              <w:spacing w:before="0" w:beforeAutospacing="0" w:after="0" w:afterAutospacing="0" w:line="133" w:lineRule="atLeast"/>
              <w:ind w:left="1500" w:leftChars="0" w:right="0" w:hanging="360"/>
              <w:rPr>
                <w:rFonts w:hint="default" w:ascii="Arial" w:hAnsi="Arial" w:cs="Arial"/>
                <w:sz w:val="20"/>
                <w:szCs w:val="20"/>
              </w:rPr>
            </w:pPr>
            <w:r>
              <w:rPr>
                <w:rFonts w:hint="default" w:ascii="Arial" w:hAnsi="Arial" w:eastAsia="Microsoft YaHei UI" w:cs="Arial"/>
                <w:i w:val="0"/>
                <w:iCs w:val="0"/>
                <w:caps w:val="0"/>
                <w:color w:val="000000"/>
                <w:spacing w:val="0"/>
                <w:sz w:val="20"/>
                <w:szCs w:val="20"/>
                <w:shd w:val="clear" w:fill="FFFFFF"/>
              </w:rPr>
              <w:t>FFS on the granularity of SK counter configuration update/release, e.g. per SK-counter list or per SK-counter.</w:t>
            </w:r>
          </w:p>
          <w:p>
            <w:pPr>
              <w:keepNext w:val="0"/>
              <w:keepLines w:val="0"/>
              <w:widowControl/>
              <w:numPr>
                <w:ilvl w:val="1"/>
                <w:numId w:val="7"/>
              </w:numPr>
              <w:suppressLineNumbers w:val="0"/>
              <w:tabs>
                <w:tab w:val="left" w:pos="1440"/>
              </w:tabs>
              <w:spacing w:before="0" w:beforeAutospacing="0" w:after="160" w:afterAutospacing="0" w:line="133" w:lineRule="atLeast"/>
              <w:ind w:left="1500" w:leftChars="0" w:right="0" w:hanging="360"/>
              <w:rPr>
                <w:rFonts w:hint="default" w:ascii="Arial" w:hAnsi="Arial" w:eastAsia="宋体" w:cs="Arial"/>
                <w:kern w:val="0"/>
                <w:sz w:val="20"/>
                <w:szCs w:val="20"/>
                <w:vertAlign w:val="baseline"/>
                <w:lang w:val="en-GB"/>
              </w:rPr>
            </w:pPr>
            <w:r>
              <w:rPr>
                <w:rFonts w:hint="default" w:ascii="Arial" w:hAnsi="Arial" w:eastAsia="Microsoft YaHei UI" w:cs="Arial"/>
                <w:i w:val="0"/>
                <w:iCs w:val="0"/>
                <w:caps w:val="0"/>
                <w:color w:val="000000"/>
                <w:spacing w:val="0"/>
                <w:sz w:val="20"/>
                <w:szCs w:val="20"/>
                <w:shd w:val="clear" w:fill="FFFFFF"/>
              </w:rPr>
              <w:t>FFS how/whether the NW can configure same SPCell/SN to be include in R17/R16 CPC and R18 CPC.</w:t>
            </w:r>
          </w:p>
        </w:tc>
      </w:tr>
    </w:tbl>
    <w:p>
      <w:pPr>
        <w:widowControl/>
        <w:spacing w:before="120" w:beforeLines="50" w:after="180"/>
        <w:rPr>
          <w:rFonts w:ascii="Arial" w:hAnsi="Arial" w:eastAsia="宋体" w:cs="Arial"/>
          <w:kern w:val="0"/>
          <w:sz w:val="21"/>
          <w:szCs w:val="21"/>
          <w:lang w:val="en-GB"/>
        </w:rPr>
      </w:pPr>
      <w:r>
        <w:rPr>
          <w:rFonts w:hint="eastAsia" w:ascii="Arial" w:hAnsi="Arial" w:eastAsia="宋体" w:cs="Arial"/>
          <w:kern w:val="0"/>
          <w:sz w:val="21"/>
          <w:szCs w:val="21"/>
          <w:lang w:val="en-US" w:eastAsia="zh-CN"/>
        </w:rPr>
        <w:t>Considering some open issues on stage-2 signaling details and security aspects have been discussed in post email discussion [2] and [3], we will focus on other open issues in this contribution.</w:t>
      </w:r>
    </w:p>
    <w:p>
      <w:pPr>
        <w:keepNext/>
        <w:keepLines/>
        <w:widowControl/>
        <w:numPr>
          <w:ilvl w:val="0"/>
          <w:numId w:val="0"/>
        </w:numPr>
        <w:pBdr>
          <w:top w:val="single" w:color="auto" w:sz="12" w:space="3"/>
        </w:pBdr>
        <w:spacing w:before="240" w:after="180"/>
        <w:ind w:leftChars="0"/>
        <w:jc w:val="left"/>
        <w:outlineLvl w:val="0"/>
        <w:rPr>
          <w:rFonts w:hint="default" w:ascii="Arial" w:hAnsi="Arial" w:eastAsia="宋体" w:cs="Arial"/>
          <w:b/>
          <w:bCs/>
          <w:i w:val="0"/>
          <w:iCs w:val="0"/>
          <w:kern w:val="0"/>
          <w:szCs w:val="21"/>
          <w:lang w:val="en-US" w:eastAsia="zh-CN"/>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keepNext/>
        <w:keepLines/>
        <w:widowControl/>
        <w:numPr>
          <w:ilvl w:val="1"/>
          <w:numId w:val="8"/>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SCG Failure handling</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rPr>
        <w:t xml:space="preserve">In </w:t>
      </w:r>
      <w:r>
        <w:rPr>
          <w:rFonts w:hint="eastAsia" w:ascii="Arial" w:hAnsi="Arial" w:eastAsia="宋体" w:cs="Arial"/>
          <w:kern w:val="0"/>
          <w:szCs w:val="21"/>
          <w:lang w:val="en-US" w:eastAsia="zh-CN"/>
        </w:rPr>
        <w:t>legacy CPA/CPC procedure</w:t>
      </w:r>
      <w:r>
        <w:rPr>
          <w:rFonts w:hint="eastAsia" w:ascii="Arial" w:hAnsi="Arial" w:eastAsia="宋体" w:cs="Arial"/>
          <w:kern w:val="0"/>
          <w:szCs w:val="21"/>
        </w:rPr>
        <w:t>, the UE stops evaluating the CPA/CPC execution condition</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upon transmission of the </w:t>
      </w:r>
      <w:r>
        <w:rPr>
          <w:rFonts w:hint="eastAsia" w:ascii="Arial" w:hAnsi="Arial" w:eastAsia="宋体" w:cs="Arial"/>
          <w:i/>
          <w:iCs/>
          <w:kern w:val="0"/>
          <w:szCs w:val="21"/>
        </w:rPr>
        <w:t>SCGFailureInformation</w:t>
      </w:r>
      <w:r>
        <w:rPr>
          <w:rFonts w:hint="eastAsia" w:ascii="Arial" w:hAnsi="Arial" w:eastAsia="宋体" w:cs="Arial"/>
          <w:kern w:val="0"/>
          <w:szCs w:val="21"/>
        </w:rPr>
        <w:t xml:space="preserve"> message to the MN</w:t>
      </w:r>
      <w:r>
        <w:rPr>
          <w:rFonts w:hint="eastAsia" w:ascii="Arial" w:hAnsi="Arial" w:eastAsia="宋体" w:cs="Arial"/>
          <w:kern w:val="0"/>
          <w:szCs w:val="21"/>
          <w:lang w:val="en-US" w:eastAsia="zh-CN"/>
        </w:rPr>
        <w:t xml:space="preserve"> as specified in TS 37.340 [4]</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And in R18, RAN2 agreed that the UE does not need to continue conditional reconfiguration evaluation for CHO with Candidate SCG(s) upon initiating SCG failure information procedure</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For subsequent CPAC, we think the same principle can be applied.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
              <w:rPr>
                <w:sz w:val="24"/>
                <w:szCs w:val="16"/>
              </w:rPr>
            </w:pPr>
            <w:bookmarkStart w:id="0" w:name="_Toc29248346"/>
            <w:bookmarkStart w:id="1" w:name="_Toc52568323"/>
            <w:bookmarkStart w:id="2" w:name="_Toc46492797"/>
            <w:bookmarkStart w:id="3" w:name="_Toc124526246"/>
            <w:bookmarkStart w:id="4" w:name="_Toc37200931"/>
            <w:r>
              <w:rPr>
                <w:sz w:val="24"/>
                <w:szCs w:val="16"/>
              </w:rPr>
              <w:t>7.7</w:t>
            </w:r>
            <w:r>
              <w:rPr>
                <w:sz w:val="24"/>
                <w:szCs w:val="16"/>
              </w:rPr>
              <w:tab/>
            </w:r>
            <w:r>
              <w:rPr>
                <w:sz w:val="24"/>
                <w:szCs w:val="16"/>
              </w:rPr>
              <w:t>SCG/MCG failure handling</w:t>
            </w:r>
            <w:bookmarkEnd w:id="0"/>
            <w:bookmarkEnd w:id="1"/>
            <w:bookmarkEnd w:id="2"/>
            <w:bookmarkEnd w:id="3"/>
            <w:bookmarkEnd w:id="4"/>
          </w:p>
          <w:p>
            <w:pPr>
              <w:widowControl/>
              <w:spacing w:after="180"/>
              <w:rPr>
                <w:rFonts w:hint="default" w:ascii="Arial" w:hAnsi="Arial" w:eastAsia="宋体" w:cs="Arial"/>
                <w:i/>
                <w:iCs/>
                <w:kern w:val="0"/>
                <w:szCs w:val="21"/>
                <w:vertAlign w:val="baseline"/>
                <w:lang w:val="en-US" w:eastAsia="zh-CN"/>
              </w:rPr>
            </w:pPr>
            <w:r>
              <w:rPr>
                <w:rFonts w:hint="eastAsia" w:ascii="Arial" w:hAnsi="Arial" w:eastAsia="宋体" w:cs="Arial"/>
                <w:i/>
                <w:iCs/>
                <w:kern w:val="0"/>
                <w:szCs w:val="21"/>
                <w:vertAlign w:val="baseline"/>
                <w:lang w:val="en-US" w:eastAsia="zh-CN"/>
              </w:rPr>
              <w:t>&lt;omitted&gt;</w:t>
            </w:r>
          </w:p>
          <w:p>
            <w:pPr>
              <w:rPr>
                <w:rFonts w:hint="default" w:ascii="Arial" w:hAnsi="Arial" w:eastAsia="宋体" w:cs="Arial"/>
                <w:kern w:val="0"/>
                <w:szCs w:val="21"/>
                <w:vertAlign w:val="baseline"/>
                <w:lang w:val="en-US" w:eastAsia="zh-CN"/>
              </w:rPr>
            </w:pPr>
            <w:r>
              <w:rPr>
                <w:rFonts w:hint="default" w:ascii="Arial" w:hAnsi="Arial" w:cs="Arial"/>
              </w:rPr>
              <w:t xml:space="preserve">In case of </w:t>
            </w:r>
            <w:r>
              <w:rPr>
                <w:rFonts w:hint="default" w:ascii="Arial" w:hAnsi="Arial" w:eastAsia="宋体" w:cs="Arial"/>
                <w:lang w:eastAsia="zh-CN"/>
              </w:rPr>
              <w:t>CPA/</w:t>
            </w:r>
            <w:r>
              <w:rPr>
                <w:rFonts w:hint="default" w:ascii="Arial" w:hAnsi="Arial" w:cs="Arial"/>
              </w:rPr>
              <w:t xml:space="preserve">CPC, upon transmission of the </w:t>
            </w:r>
            <w:r>
              <w:rPr>
                <w:rFonts w:hint="default" w:ascii="Arial" w:hAnsi="Arial" w:eastAsia="宋体" w:cs="Arial"/>
                <w:i/>
                <w:iCs/>
                <w:lang w:eastAsia="zh-CN"/>
              </w:rPr>
              <w:t>SCGFailureInformation</w:t>
            </w:r>
            <w:r>
              <w:rPr>
                <w:rFonts w:hint="default" w:ascii="Arial" w:hAnsi="Arial" w:cs="Arial"/>
              </w:rPr>
              <w:t xml:space="preserve"> message to the MN, the </w:t>
            </w:r>
            <w:r>
              <w:rPr>
                <w:rFonts w:hint="default" w:ascii="Arial" w:hAnsi="Arial" w:cs="Arial"/>
                <w:color w:val="000000" w:themeColor="text1"/>
                <w14:textFill>
                  <w14:solidFill>
                    <w14:schemeClr w14:val="tx1"/>
                  </w14:solidFill>
                </w14:textFill>
              </w:rPr>
              <w:t xml:space="preserve">UE stops evaluating the </w:t>
            </w:r>
            <w:r>
              <w:rPr>
                <w:rFonts w:hint="default" w:ascii="Arial" w:hAnsi="Arial" w:eastAsia="宋体" w:cs="Arial"/>
                <w:color w:val="000000" w:themeColor="text1"/>
                <w:lang w:eastAsia="zh-CN"/>
                <w14:textFill>
                  <w14:solidFill>
                    <w14:schemeClr w14:val="tx1"/>
                  </w14:solidFill>
                </w14:textFill>
              </w:rPr>
              <w:t>CPA/</w:t>
            </w:r>
            <w:r>
              <w:rPr>
                <w:rFonts w:hint="default" w:ascii="Arial" w:hAnsi="Arial" w:cs="Arial"/>
                <w:color w:val="000000" w:themeColor="text1"/>
                <w14:textFill>
                  <w14:solidFill>
                    <w14:schemeClr w14:val="tx1"/>
                  </w14:solidFill>
                </w14:textFill>
              </w:rPr>
              <w:t>CPC execution condition</w:t>
            </w:r>
            <w:r>
              <w:rPr>
                <w:rFonts w:hint="default" w:ascii="Arial" w:hAnsi="Arial" w:cs="Arial"/>
              </w:rPr>
              <w:t xml:space="preserve">. The UE is not required to continue measurements for candidate PSCell(s) for execution condition upon transmission of the </w:t>
            </w:r>
            <w:r>
              <w:rPr>
                <w:rFonts w:hint="default" w:ascii="Arial" w:hAnsi="Arial" w:eastAsia="宋体" w:cs="Arial"/>
                <w:i/>
                <w:iCs/>
                <w:lang w:eastAsia="zh-CN"/>
              </w:rPr>
              <w:t>SCGFailureInformation</w:t>
            </w:r>
            <w:r>
              <w:rPr>
                <w:rFonts w:hint="default" w:ascii="Arial" w:hAnsi="Arial" w:cs="Arial"/>
              </w:rPr>
              <w:t xml:space="preserve"> message to the MN.</w:t>
            </w:r>
          </w:p>
        </w:tc>
      </w:tr>
    </w:tbl>
    <w:p>
      <w:pPr>
        <w:widowControl/>
        <w:spacing w:after="180"/>
        <w:rPr>
          <w:rFonts w:hint="default" w:ascii="Arial" w:hAnsi="Arial" w:eastAsia="宋体" w:cs="Arial"/>
          <w:kern w:val="0"/>
          <w:szCs w:val="21"/>
          <w:lang w:val="en-US" w:eastAsia="zh-CN"/>
        </w:rPr>
      </w:pP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UE is not required to continue evaluation for subsequent CPAC upon transmission of the </w:t>
      </w:r>
      <w:r>
        <w:rPr>
          <w:rFonts w:hint="eastAsia" w:ascii="Arial" w:hAnsi="Arial" w:eastAsia="宋体" w:cs="Arial"/>
          <w:b/>
          <w:bCs/>
          <w:i/>
          <w:iCs/>
          <w:kern w:val="0"/>
          <w:szCs w:val="21"/>
          <w:lang w:val="en-US" w:eastAsia="zh-CN"/>
        </w:rPr>
        <w:t>SCGFailureInformation</w:t>
      </w:r>
      <w:r>
        <w:rPr>
          <w:rFonts w:hint="eastAsia" w:ascii="Arial" w:hAnsi="Arial" w:eastAsia="宋体" w:cs="Arial"/>
          <w:b/>
          <w:bCs/>
          <w:i w:val="0"/>
          <w:iCs w:val="0"/>
          <w:kern w:val="0"/>
          <w:szCs w:val="21"/>
          <w:lang w:val="en-US" w:eastAsia="zh-CN"/>
        </w:rPr>
        <w:t xml:space="preserve"> message </w:t>
      </w:r>
      <w:r>
        <w:rPr>
          <w:rFonts w:hint="eastAsia" w:ascii="Arial" w:hAnsi="Arial" w:eastAsia="宋体" w:cs="Arial"/>
          <w:b/>
          <w:bCs/>
          <w:kern w:val="0"/>
          <w:szCs w:val="21"/>
          <w:lang w:val="en-US" w:eastAsia="zh-CN"/>
        </w:rPr>
        <w:t>to the MN</w:t>
      </w:r>
      <w:r>
        <w:rPr>
          <w:rFonts w:hint="eastAsia" w:ascii="Arial" w:hAnsi="Arial" w:eastAsia="宋体" w:cs="Arial"/>
          <w:b/>
          <w:bCs/>
          <w:kern w:val="0"/>
          <w:szCs w:val="21"/>
        </w:rPr>
        <w:t>.</w:t>
      </w:r>
    </w:p>
    <w:p>
      <w:pPr>
        <w:widowControl/>
        <w:spacing w:after="180"/>
        <w:rPr>
          <w:rFonts w:hint="eastAsia" w:ascii="Arial" w:hAnsi="Arial" w:eastAsia="宋体" w:cs="Arial"/>
          <w:b/>
          <w:bCs/>
          <w:kern w:val="0"/>
          <w:szCs w:val="21"/>
          <w:lang w:val="en-US" w:eastAsia="zh-CN"/>
        </w:rPr>
      </w:pPr>
    </w:p>
    <w:p>
      <w:pPr>
        <w:keepNext/>
        <w:keepLines/>
        <w:widowControl/>
        <w:numPr>
          <w:ilvl w:val="1"/>
          <w:numId w:val="8"/>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Reference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In RAN2#121bis-e meeting, RAN2 agreed to aim at following similar design as LTM for the reference configuration for subsequent CPAC.</w:t>
      </w:r>
    </w:p>
    <w:p>
      <w:pPr>
        <w:pStyle w:val="27"/>
        <w:rPr>
          <w:rFonts w:ascii="Arial" w:hAnsi="Arial" w:eastAsia="MS Mincho" w:cs="Times New Roman"/>
          <w:b/>
          <w:kern w:val="0"/>
          <w:sz w:val="21"/>
          <w:szCs w:val="21"/>
          <w:lang w:val="en-GB" w:eastAsia="en-GB" w:bidi="ar-SA"/>
        </w:rPr>
      </w:pPr>
      <w:r>
        <w:rPr>
          <w:rFonts w:hint="eastAsia" w:ascii="Arial" w:hAnsi="Arial" w:eastAsia="宋体" w:cs="Times New Roman"/>
          <w:b/>
          <w:kern w:val="0"/>
          <w:sz w:val="21"/>
          <w:szCs w:val="21"/>
          <w:lang w:val="en-US" w:eastAsia="zh-CN" w:bidi="ar-SA"/>
        </w:rPr>
        <w:t>F</w:t>
      </w:r>
      <w:r>
        <w:rPr>
          <w:rFonts w:ascii="Arial" w:hAnsi="Arial" w:eastAsia="MS Mincho" w:cs="Times New Roman"/>
          <w:b/>
          <w:kern w:val="0"/>
          <w:sz w:val="21"/>
          <w:szCs w:val="21"/>
          <w:lang w:val="en-GB" w:eastAsia="en-GB" w:bidi="ar-SA"/>
        </w:rPr>
        <w:t xml:space="preserve">or </w:t>
      </w:r>
      <w:r>
        <w:rPr>
          <w:rFonts w:ascii="Arial" w:hAnsi="Arial" w:eastAsia="MS Mincho" w:cs="Times New Roman"/>
          <w:kern w:val="0"/>
          <w:sz w:val="21"/>
          <w:szCs w:val="21"/>
          <w:lang w:val="en-GB" w:eastAsia="en-GB"/>
        </w:rPr>
        <w:t xml:space="preserve">the </w:t>
      </w:r>
      <w:r>
        <w:rPr>
          <w:rFonts w:hint="default" w:ascii="Arial" w:hAnsi="Arial" w:cs="Arial"/>
          <w:bCs/>
          <w:sz w:val="21"/>
          <w:szCs w:val="21"/>
          <w:lang w:val="en-GB" w:eastAsia="en-GB"/>
        </w:rPr>
        <w:t xml:space="preserve">reference </w:t>
      </w:r>
      <w:r>
        <w:rPr>
          <w:rFonts w:ascii="Arial" w:hAnsi="Arial" w:eastAsia="MS Mincho" w:cs="Times New Roman"/>
          <w:b/>
          <w:kern w:val="0"/>
          <w:sz w:val="21"/>
          <w:szCs w:val="21"/>
          <w:lang w:val="en-GB" w:eastAsia="en-GB" w:bidi="ar-SA"/>
        </w:rPr>
        <w:t>configuration for SCG Selective Activation, aim at following similar design as LTM.</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During the discussion on LTM, the following agreements were achieved:</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rFonts w:ascii="Arial" w:hAnsi="Arial" w:eastAsia="Times New Roman" w:cs="Times New Roman"/>
          <w:b/>
          <w:bCs w:val="0"/>
          <w:kern w:val="0"/>
          <w:sz w:val="21"/>
          <w:szCs w:val="21"/>
          <w:lang w:val="en-US" w:eastAsia="zh-CN" w:bidi="ar"/>
        </w:rPr>
      </w:pPr>
      <w:r>
        <w:rPr>
          <w:rFonts w:hint="eastAsia" w:ascii="Arial" w:hAnsi="Arial" w:eastAsia="Times New Roman" w:cs="Times New Roman"/>
          <w:b/>
          <w:bCs w:val="0"/>
          <w:kern w:val="0"/>
          <w:sz w:val="21"/>
          <w:szCs w:val="21"/>
          <w:lang w:val="en-US" w:eastAsia="zh-CN" w:bidi="ar"/>
        </w:rPr>
        <w:t>Reference config can be empty</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rFonts w:hint="default" w:ascii="Arial" w:hAnsi="Arial" w:eastAsia="Times New Roman" w:cs="Times New Roman"/>
          <w:b/>
          <w:bCs w:val="0"/>
          <w:kern w:val="0"/>
          <w:sz w:val="21"/>
          <w:szCs w:val="21"/>
          <w:lang w:val="en-US" w:eastAsia="zh-CN" w:bidi="ar"/>
        </w:rPr>
      </w:pPr>
      <w:r>
        <w:rPr>
          <w:rFonts w:hint="default" w:ascii="Arial" w:hAnsi="Arial" w:eastAsia="Times New Roman" w:cs="Times New Roman"/>
          <w:b/>
          <w:bCs w:val="0"/>
          <w:kern w:val="0"/>
          <w:sz w:val="21"/>
          <w:szCs w:val="21"/>
          <w:lang w:val="en-US" w:eastAsia="zh-CN" w:bidi="ar"/>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rFonts w:hint="default" w:ascii="Arial" w:hAnsi="Arial" w:eastAsia="Times New Roman" w:cs="Times New Roman"/>
          <w:b/>
          <w:bCs w:val="0"/>
          <w:kern w:val="0"/>
          <w:sz w:val="21"/>
          <w:szCs w:val="21"/>
          <w:lang w:val="en-US" w:eastAsia="zh-CN" w:bidi="ar"/>
        </w:rPr>
      </w:pPr>
      <w:r>
        <w:rPr>
          <w:rFonts w:hint="default" w:ascii="Arial" w:hAnsi="Arial" w:eastAsia="Times New Roman" w:cs="Times New Roman"/>
          <w:b/>
          <w:bCs w:val="0"/>
          <w:kern w:val="0"/>
          <w:sz w:val="21"/>
          <w:szCs w:val="21"/>
          <w:lang w:val="en-US" w:eastAsia="zh-CN" w:bidi="ar"/>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fullconfig flag set. FFS how to make sure the procedures work in case the LTM candidate configuration is a complete configuration.</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sz w:val="21"/>
          <w:szCs w:val="21"/>
          <w:lang w:val="en-US"/>
        </w:rPr>
      </w:pPr>
      <w:r>
        <w:rPr>
          <w:rFonts w:ascii="Arial" w:hAnsi="Arial" w:eastAsia="Times New Roman" w:cs="Times New Roman"/>
          <w:b/>
          <w:bCs w:val="0"/>
          <w:kern w:val="0"/>
          <w:sz w:val="21"/>
          <w:szCs w:val="21"/>
          <w:lang w:val="en-US" w:eastAsia="zh-CN" w:bidi="ar"/>
        </w:rPr>
        <w:t xml:space="preserve">Whether the Reference configuration is a complete configuration or not is up to the network implementation. </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sz w:val="21"/>
          <w:szCs w:val="21"/>
          <w:lang w:val="en-US"/>
        </w:rPr>
      </w:pPr>
      <w:r>
        <w:rPr>
          <w:rFonts w:ascii="Arial" w:hAnsi="Arial" w:eastAsia="Times New Roman" w:cs="Times New Roman"/>
          <w:b/>
          <w:bCs w:val="0"/>
          <w:kern w:val="0"/>
          <w:sz w:val="21"/>
          <w:szCs w:val="21"/>
          <w:lang w:val="en-US" w:eastAsia="zh-CN" w:bidi="ar"/>
        </w:rPr>
        <w:t xml:space="preserve">Reference configuration + LTM candidate configuration (in combination) has to be a complete configuration. </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sz w:val="21"/>
          <w:szCs w:val="21"/>
          <w:lang w:val="en-US"/>
        </w:rPr>
      </w:pPr>
      <w:r>
        <w:rPr>
          <w:rFonts w:ascii="Arial" w:hAnsi="Arial" w:eastAsia="Times New Roman" w:cs="Times New Roman"/>
          <w:b/>
          <w:bCs w:val="0"/>
          <w:kern w:val="0"/>
          <w:sz w:val="21"/>
          <w:szCs w:val="21"/>
          <w:lang w:val="en-US" w:eastAsia="zh-CN" w:bidi="ar"/>
        </w:rPr>
        <w:t>The reference configuration is always explicitly signalled (not automatically derived from any other config, e.g. current)</w:t>
      </w:r>
      <w:r>
        <w:rPr>
          <w:rFonts w:hint="eastAsia" w:ascii="Arial" w:hAnsi="Arial" w:eastAsia="Times New Roman" w:cs="Times New Roman"/>
          <w:b/>
          <w:bCs w:val="0"/>
          <w:kern w:val="0"/>
          <w:sz w:val="21"/>
          <w:szCs w:val="21"/>
          <w:lang w:val="en-US" w:eastAsia="zh-CN" w:bidi="ar"/>
        </w:rPr>
        <w:t>.</w:t>
      </w:r>
    </w:p>
    <w:p>
      <w:pPr>
        <w:pStyle w:val="10"/>
        <w:keepNext w:val="0"/>
        <w:keepLines w:val="0"/>
        <w:widowControl/>
        <w:numPr>
          <w:ilvl w:val="0"/>
          <w:numId w:val="9"/>
        </w:numPr>
        <w:suppressLineNumbers w:val="0"/>
        <w:tabs>
          <w:tab w:val="left" w:pos="1619"/>
          <w:tab w:val="clear" w:pos="-742"/>
        </w:tabs>
        <w:overflowPunct/>
        <w:autoSpaceDE/>
        <w:autoSpaceDN w:val="0"/>
        <w:adjustRightInd/>
        <w:spacing w:before="60" w:beforeAutospacing="0" w:after="0" w:afterAutospacing="0"/>
        <w:ind w:left="1619" w:right="0" w:hanging="360"/>
        <w:jc w:val="left"/>
        <w:rPr>
          <w:sz w:val="21"/>
          <w:szCs w:val="21"/>
          <w:lang w:val="en-US"/>
        </w:rPr>
      </w:pPr>
      <w:r>
        <w:rPr>
          <w:rFonts w:ascii="Arial" w:hAnsi="Arial" w:eastAsia="Times New Roman" w:cs="Times New Roman"/>
          <w:b/>
          <w:bCs w:val="0"/>
          <w:kern w:val="0"/>
          <w:sz w:val="21"/>
          <w:szCs w:val="21"/>
          <w:lang w:val="en-US" w:eastAsia="zh-CN" w:bidi="ar"/>
        </w:rPr>
        <w:t>A UE capability to indicate the support of the reference configuration is introduced. If reference configuration is not supported then complete candidate configurations has to be used.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Times New Roman" w:cs="Times New Roman"/>
          <w:b w:val="0"/>
          <w:bCs/>
          <w:kern w:val="0"/>
          <w:sz w:val="21"/>
          <w:szCs w:val="21"/>
          <w:lang w:val="en-US" w:eastAsia="zh-CN" w:bidi="ar"/>
        </w:rPr>
      </w:pPr>
      <w:r>
        <w:rPr>
          <w:rFonts w:hint="eastAsia" w:ascii="Arial" w:hAnsi="Arial" w:eastAsia="Times New Roman" w:cs="Times New Roman"/>
          <w:b w:val="0"/>
          <w:bCs/>
          <w:kern w:val="0"/>
          <w:sz w:val="21"/>
          <w:szCs w:val="21"/>
          <w:lang w:val="en-US" w:eastAsia="zh-CN" w:bidi="ar"/>
        </w:rPr>
        <w:t xml:space="preserve">Based on the above agreements, the UE can always have a complete configuration for candidate PSCell via reference configuration + candidate configuration. And when the reference configuration is empty, the network can guarantee the candidate configuration is a complete configuration since the reference configuration is always explicitly signaled.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Times New Roman" w:cs="Times New Roman"/>
          <w:b w:val="0"/>
          <w:bCs/>
          <w:kern w:val="0"/>
          <w:sz w:val="21"/>
          <w:szCs w:val="21"/>
          <w:highlight w:val="yellow"/>
          <w:lang w:val="en-US" w:eastAsia="zh-CN" w:bidi="ar"/>
        </w:rPr>
      </w:pPr>
      <w:r>
        <w:rPr>
          <w:rFonts w:hint="eastAsia" w:ascii="Arial" w:hAnsi="Arial" w:eastAsia="Times New Roman" w:cs="Times New Roman"/>
          <w:b w:val="0"/>
          <w:bCs/>
          <w:kern w:val="0"/>
          <w:sz w:val="21"/>
          <w:szCs w:val="21"/>
          <w:lang w:val="en-US" w:eastAsia="zh-CN" w:bidi="ar"/>
        </w:rPr>
        <w:t xml:space="preserve">For legacy full configuration procedure, </w:t>
      </w:r>
      <w:r>
        <w:rPr>
          <w:rFonts w:hint="eastAsia" w:ascii="Arial" w:hAnsi="Arial" w:eastAsia="Times New Roman" w:cs="Times New Roman"/>
          <w:b w:val="0"/>
          <w:bCs/>
          <w:i/>
          <w:iCs/>
          <w:kern w:val="0"/>
          <w:sz w:val="21"/>
          <w:szCs w:val="21"/>
          <w:lang w:val="en-US" w:eastAsia="zh-CN" w:bidi="ar"/>
        </w:rPr>
        <w:t>fullConfig</w:t>
      </w:r>
      <w:r>
        <w:rPr>
          <w:rFonts w:hint="eastAsia" w:ascii="Arial" w:hAnsi="Arial" w:eastAsia="Times New Roman" w:cs="Times New Roman"/>
          <w:b w:val="0"/>
          <w:bCs/>
          <w:kern w:val="0"/>
          <w:sz w:val="21"/>
          <w:szCs w:val="21"/>
          <w:lang w:val="en-US" w:eastAsia="zh-CN" w:bidi="ar"/>
        </w:rPr>
        <w:t xml:space="preserve"> indicated the RRC signaling is full or delta which is only applied for HO case, and this field is absent if the </w:t>
      </w:r>
      <w:r>
        <w:rPr>
          <w:rFonts w:hint="eastAsia" w:ascii="Arial" w:hAnsi="Arial" w:eastAsia="Times New Roman" w:cs="Times New Roman"/>
          <w:b w:val="0"/>
          <w:bCs/>
          <w:i/>
          <w:iCs/>
          <w:kern w:val="0"/>
          <w:sz w:val="21"/>
          <w:szCs w:val="21"/>
          <w:lang w:val="en-US" w:eastAsia="zh-CN" w:bidi="ar"/>
        </w:rPr>
        <w:t>RRCReconfiguration</w:t>
      </w:r>
      <w:r>
        <w:rPr>
          <w:rFonts w:hint="eastAsia" w:ascii="Arial" w:hAnsi="Arial" w:eastAsia="Times New Roman" w:cs="Times New Roman"/>
          <w:b w:val="0"/>
          <w:bCs/>
          <w:kern w:val="0"/>
          <w:sz w:val="21"/>
          <w:szCs w:val="21"/>
          <w:lang w:val="en-US" w:eastAsia="zh-CN" w:bidi="ar"/>
        </w:rPr>
        <w:t xml:space="preserve"> message contains SCG configuration in another </w:t>
      </w:r>
      <w:r>
        <w:rPr>
          <w:rFonts w:hint="eastAsia" w:ascii="Arial" w:hAnsi="Arial" w:eastAsia="Times New Roman" w:cs="Times New Roman"/>
          <w:b w:val="0"/>
          <w:bCs/>
          <w:i/>
          <w:iCs/>
          <w:kern w:val="0"/>
          <w:sz w:val="21"/>
          <w:szCs w:val="21"/>
          <w:lang w:val="en-US" w:eastAsia="zh-CN" w:bidi="ar"/>
        </w:rPr>
        <w:t xml:space="preserve">RRCReconfiguration </w:t>
      </w:r>
      <w:r>
        <w:rPr>
          <w:rFonts w:hint="eastAsia" w:ascii="Arial" w:hAnsi="Arial" w:eastAsia="Times New Roman" w:cs="Times New Roman"/>
          <w:b w:val="0"/>
          <w:bCs/>
          <w:kern w:val="0"/>
          <w:sz w:val="21"/>
          <w:szCs w:val="21"/>
          <w:lang w:val="en-US" w:eastAsia="zh-CN" w:bidi="ar"/>
        </w:rPr>
        <w:t xml:space="preserve">as specified in TS 38.331 [5].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jc w:val="both"/>
              <w:rPr>
                <w:rFonts w:hint="default" w:ascii="Arial" w:hAnsi="Arial" w:cs="Arial"/>
                <w:sz w:val="20"/>
                <w:szCs w:val="20"/>
              </w:rPr>
            </w:pPr>
            <w:r>
              <w:rPr>
                <w:rFonts w:hint="default" w:ascii="Arial" w:hAnsi="Arial" w:eastAsia="Helvetica-BoldOblique" w:cs="Arial"/>
                <w:b/>
                <w:bCs/>
                <w:i/>
                <w:iCs/>
                <w:color w:val="000000"/>
                <w:kern w:val="0"/>
                <w:sz w:val="20"/>
                <w:szCs w:val="20"/>
                <w:lang w:val="en-US" w:eastAsia="zh-CN" w:bidi="ar"/>
              </w:rPr>
              <w:t xml:space="preserve">fullConfig </w:t>
            </w:r>
          </w:p>
          <w:p>
            <w:pPr>
              <w:keepNext w:val="0"/>
              <w:keepLines w:val="0"/>
              <w:widowControl/>
              <w:suppressLineNumbers w:val="0"/>
              <w:jc w:val="both"/>
              <w:rPr>
                <w:rFonts w:hint="eastAsia" w:ascii="Arial" w:hAnsi="Arial" w:eastAsia="Times New Roman" w:cs="Times New Roman"/>
                <w:b w:val="0"/>
                <w:bCs/>
                <w:kern w:val="0"/>
                <w:sz w:val="21"/>
                <w:szCs w:val="21"/>
                <w:highlight w:val="yellow"/>
                <w:vertAlign w:val="baseline"/>
                <w:lang w:val="en-US" w:eastAsia="zh-CN" w:bidi="ar"/>
              </w:rPr>
            </w:pPr>
            <w:r>
              <w:rPr>
                <w:rFonts w:hint="default" w:ascii="Arial" w:hAnsi="Arial" w:eastAsia="Helvetica" w:cs="Arial"/>
                <w:color w:val="000000"/>
                <w:kern w:val="0"/>
                <w:sz w:val="20"/>
                <w:szCs w:val="20"/>
                <w:lang w:val="en-US" w:eastAsia="zh-CN" w:bidi="ar"/>
              </w:rPr>
              <w:t xml:space="preserve">Indicates that the full configuration option is applicable for the </w:t>
            </w:r>
            <w:r>
              <w:rPr>
                <w:rFonts w:hint="default" w:ascii="Arial" w:hAnsi="Arial" w:eastAsia="Helvetica-Oblique" w:cs="Arial"/>
                <w:i/>
                <w:iCs/>
                <w:color w:val="000000"/>
                <w:kern w:val="0"/>
                <w:sz w:val="20"/>
                <w:szCs w:val="20"/>
                <w:lang w:val="en-US" w:eastAsia="zh-CN" w:bidi="ar"/>
              </w:rPr>
              <w:t>RRCReconfiguration</w:t>
            </w:r>
            <w:r>
              <w:rPr>
                <w:rFonts w:hint="default" w:ascii="Arial" w:hAnsi="Arial" w:eastAsia="Helvetica" w:cs="Arial"/>
                <w:color w:val="000000"/>
                <w:kern w:val="0"/>
                <w:sz w:val="20"/>
                <w:szCs w:val="20"/>
                <w:lang w:val="en-US" w:eastAsia="zh-CN" w:bidi="ar"/>
              </w:rPr>
              <w:t xml:space="preserve"> message for intra-system intra-RAT HO. For inter-RAT HO from E-UTRA to NR, </w:t>
            </w:r>
            <w:r>
              <w:rPr>
                <w:rFonts w:hint="default" w:ascii="Arial" w:hAnsi="Arial" w:eastAsia="Helvetica-Oblique" w:cs="Arial"/>
                <w:i/>
                <w:iCs/>
                <w:color w:val="000000"/>
                <w:kern w:val="0"/>
                <w:sz w:val="20"/>
                <w:szCs w:val="20"/>
                <w:lang w:val="en-US" w:eastAsia="zh-CN" w:bidi="ar"/>
              </w:rPr>
              <w:t xml:space="preserve">fullConfig </w:t>
            </w:r>
            <w:r>
              <w:rPr>
                <w:rFonts w:hint="default" w:ascii="Arial" w:hAnsi="Arial" w:eastAsia="Helvetica" w:cs="Arial"/>
                <w:color w:val="000000"/>
                <w:kern w:val="0"/>
                <w:sz w:val="20"/>
                <w:szCs w:val="20"/>
                <w:lang w:val="en-US" w:eastAsia="zh-CN" w:bidi="ar"/>
              </w:rPr>
              <w:t xml:space="preserve">indicates whether or not delta signalling of SDAP/PDCP from source RAT is applicable. </w:t>
            </w:r>
            <w:r>
              <w:rPr>
                <w:rFonts w:hint="default" w:ascii="Arial" w:hAnsi="Arial" w:eastAsia="Helvetica" w:cs="Arial"/>
                <w:color w:val="000000"/>
                <w:kern w:val="0"/>
                <w:sz w:val="20"/>
                <w:szCs w:val="20"/>
                <w:highlight w:val="yellow"/>
                <w:lang w:val="en-US" w:eastAsia="zh-CN" w:bidi="ar"/>
              </w:rPr>
              <w:t>This field is absent</w:t>
            </w:r>
            <w:r>
              <w:rPr>
                <w:rFonts w:hint="default" w:ascii="Arial" w:hAnsi="Arial" w:eastAsia="Helvetica" w:cs="Arial"/>
                <w:color w:val="000000"/>
                <w:kern w:val="0"/>
                <w:sz w:val="20"/>
                <w:szCs w:val="20"/>
                <w:lang w:val="en-US" w:eastAsia="zh-CN" w:bidi="ar"/>
              </w:rPr>
              <w:t xml:space="preserve"> if any DAPS bearer is configured or when the </w:t>
            </w:r>
            <w:r>
              <w:rPr>
                <w:rFonts w:hint="default" w:ascii="Arial" w:hAnsi="Arial" w:eastAsia="Helvetica-Oblique" w:cs="Arial"/>
                <w:i/>
                <w:iCs/>
                <w:color w:val="000000"/>
                <w:kern w:val="0"/>
                <w:sz w:val="20"/>
                <w:szCs w:val="20"/>
                <w:lang w:val="en-US" w:eastAsia="zh-CN" w:bidi="ar"/>
              </w:rPr>
              <w:t xml:space="preserve">RRCReconfiguration </w:t>
            </w:r>
            <w:r>
              <w:rPr>
                <w:rFonts w:hint="default" w:ascii="Arial" w:hAnsi="Arial" w:eastAsia="Helvetica" w:cs="Arial"/>
                <w:color w:val="000000"/>
                <w:kern w:val="0"/>
                <w:sz w:val="20"/>
                <w:szCs w:val="20"/>
                <w:lang w:val="en-US" w:eastAsia="zh-CN" w:bidi="ar"/>
              </w:rPr>
              <w:t xml:space="preserve">message is transmitted on SRB3, and </w:t>
            </w:r>
            <w:r>
              <w:rPr>
                <w:rFonts w:hint="default" w:ascii="Arial" w:hAnsi="Arial" w:eastAsia="Helvetica" w:cs="Arial"/>
                <w:color w:val="000000"/>
                <w:kern w:val="0"/>
                <w:sz w:val="20"/>
                <w:szCs w:val="20"/>
                <w:highlight w:val="yellow"/>
                <w:lang w:val="en-US" w:eastAsia="zh-CN" w:bidi="ar"/>
              </w:rPr>
              <w:t xml:space="preserve">in an </w:t>
            </w:r>
            <w:r>
              <w:rPr>
                <w:rFonts w:hint="default" w:ascii="Arial" w:hAnsi="Arial" w:eastAsia="Helvetica-Oblique" w:cs="Arial"/>
                <w:i/>
                <w:iCs/>
                <w:color w:val="000000"/>
                <w:kern w:val="0"/>
                <w:sz w:val="20"/>
                <w:szCs w:val="20"/>
                <w:highlight w:val="yellow"/>
                <w:lang w:val="en-US" w:eastAsia="zh-CN" w:bidi="ar"/>
              </w:rPr>
              <w:t>RRCReconfiguration</w:t>
            </w:r>
            <w:r>
              <w:rPr>
                <w:rFonts w:hint="default" w:ascii="Arial" w:hAnsi="Arial" w:eastAsia="Helvetica" w:cs="Arial"/>
                <w:color w:val="000000"/>
                <w:kern w:val="0"/>
                <w:sz w:val="20"/>
                <w:szCs w:val="20"/>
                <w:highlight w:val="yellow"/>
                <w:lang w:val="en-US" w:eastAsia="zh-CN" w:bidi="ar"/>
              </w:rPr>
              <w:t xml:space="preserve"> message for SCG contained in another </w:t>
            </w:r>
            <w:r>
              <w:rPr>
                <w:rFonts w:hint="default" w:ascii="Arial" w:hAnsi="Arial" w:eastAsia="Helvetica-Oblique" w:cs="Arial"/>
                <w:i/>
                <w:iCs/>
                <w:color w:val="000000"/>
                <w:kern w:val="0"/>
                <w:sz w:val="20"/>
                <w:szCs w:val="20"/>
                <w:highlight w:val="yellow"/>
                <w:lang w:val="en-US" w:eastAsia="zh-CN" w:bidi="ar"/>
              </w:rPr>
              <w:t>RRCReconfiguration</w:t>
            </w:r>
            <w:r>
              <w:rPr>
                <w:rFonts w:hint="default" w:ascii="Arial" w:hAnsi="Arial" w:eastAsia="Helvetica" w:cs="Arial"/>
                <w:color w:val="000000"/>
                <w:kern w:val="0"/>
                <w:sz w:val="20"/>
                <w:szCs w:val="20"/>
                <w:highlight w:val="yellow"/>
                <w:lang w:val="en-US" w:eastAsia="zh-CN" w:bidi="ar"/>
              </w:rPr>
              <w:t xml:space="preserve"> message</w:t>
            </w:r>
            <w:r>
              <w:rPr>
                <w:rFonts w:hint="default" w:ascii="Arial" w:hAnsi="Arial" w:eastAsia="Helvetica" w:cs="Arial"/>
                <w:color w:val="000000"/>
                <w:kern w:val="0"/>
                <w:sz w:val="20"/>
                <w:szCs w:val="20"/>
                <w:lang w:val="en-US" w:eastAsia="zh-CN" w:bidi="ar"/>
              </w:rPr>
              <w:t xml:space="preserve"> (or </w:t>
            </w:r>
            <w:r>
              <w:rPr>
                <w:rFonts w:hint="default" w:ascii="Arial" w:hAnsi="Arial" w:eastAsia="Helvetica-Oblique" w:cs="Arial"/>
                <w:i/>
                <w:iCs/>
                <w:color w:val="000000"/>
                <w:kern w:val="0"/>
                <w:sz w:val="20"/>
                <w:szCs w:val="20"/>
                <w:lang w:val="en-US" w:eastAsia="zh-CN" w:bidi="ar"/>
              </w:rPr>
              <w:t xml:space="preserve">RRCConnectionReconfiguration </w:t>
            </w:r>
            <w:r>
              <w:rPr>
                <w:rFonts w:hint="default" w:ascii="Arial" w:hAnsi="Arial" w:eastAsia="Helvetica" w:cs="Arial"/>
                <w:color w:val="000000"/>
                <w:kern w:val="0"/>
                <w:sz w:val="20"/>
                <w:szCs w:val="20"/>
                <w:lang w:val="en-US" w:eastAsia="zh-CN" w:bidi="ar"/>
              </w:rPr>
              <w:t>message, see TS 36.331 [10]) transmitted on SRB1.</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Times New Roman" w:cs="Times New Roman"/>
          <w:b w:val="0"/>
          <w:bCs/>
          <w:kern w:val="0"/>
          <w:sz w:val="21"/>
          <w:szCs w:val="21"/>
          <w:highlight w:val="none"/>
          <w:lang w:val="en-US" w:eastAsia="zh-CN" w:bidi="ar"/>
        </w:rPr>
      </w:pPr>
      <w:r>
        <w:rPr>
          <w:rFonts w:hint="eastAsia" w:ascii="Arial" w:hAnsi="Arial" w:eastAsia="Times New Roman" w:cs="Times New Roman"/>
          <w:b w:val="0"/>
          <w:bCs/>
          <w:kern w:val="0"/>
          <w:sz w:val="21"/>
          <w:szCs w:val="21"/>
          <w:highlight w:val="none"/>
          <w:lang w:val="en-US" w:eastAsia="zh-CN" w:bidi="ar"/>
        </w:rPr>
        <w:t>Based on the above analysis, we understand the applicable scenario of full configuration procedure is different from the new complete configuration, and it will not impact the new complete configuration procedure. Therefore, we support to follow the LTM mechanism on the complete configuration generation/application for subsequent CPAC.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bCs/>
          <w:kern w:val="0"/>
          <w:sz w:val="21"/>
          <w:szCs w:val="21"/>
          <w:lang w:val="en-US" w:eastAsia="zh-CN"/>
        </w:rPr>
        <w:t>Proposal 2: For subsequent CPAC, follow the similar mechanism on the complete configuration generation/application as LTM.</w:t>
      </w:r>
      <w:r>
        <w:rPr>
          <w:rFonts w:hint="eastAsia" w:ascii="Arial" w:hAnsi="Arial" w:eastAsia="宋体" w:cs="Arial"/>
          <w:b w:val="0"/>
          <w:bCs w:val="0"/>
          <w:ker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reference configuration is always explicitly signaled (not automatically derived from any other config, e.g. current).</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reference configuration can be empty or a complete configuration which is up to network implementation.</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ascii="Arial" w:hAnsi="Arial" w:eastAsia="Times New Roman" w:cs="Times New Roman"/>
          <w:b/>
          <w:bCs w:val="0"/>
          <w:kern w:val="0"/>
          <w:sz w:val="21"/>
          <w:szCs w:val="21"/>
          <w:lang w:val="en-US" w:eastAsia="zh-CN" w:bidi="ar"/>
        </w:rPr>
      </w:pPr>
      <w:r>
        <w:rPr>
          <w:rFonts w:hint="eastAsia" w:ascii="Arial" w:hAnsi="Arial" w:eastAsia="宋体" w:cs="Arial"/>
          <w:b w:val="0"/>
          <w:bCs w:val="0"/>
          <w:kern w:val="0"/>
          <w:sz w:val="21"/>
          <w:szCs w:val="21"/>
          <w:lang w:val="en-US" w:eastAsia="zh-CN"/>
        </w:rPr>
        <w:t xml:space="preserve">- </w:t>
      </w:r>
      <w:r>
        <w:rPr>
          <w:rFonts w:ascii="Arial" w:hAnsi="Arial" w:eastAsia="Times New Roman" w:cs="Times New Roman"/>
          <w:b/>
          <w:bCs w:val="0"/>
          <w:kern w:val="0"/>
          <w:sz w:val="21"/>
          <w:szCs w:val="21"/>
          <w:lang w:val="en-US" w:eastAsia="zh-CN" w:bidi="ar"/>
        </w:rPr>
        <w:t>Reference configuration + candidate configuration (in combination) has to be a complete configuration.</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eastAsia" w:ascii="Arial" w:hAnsi="Arial" w:eastAsia="Times New Roman" w:cs="Times New Roman"/>
          <w:b/>
          <w:bCs w:val="0"/>
          <w:kern w:val="0"/>
          <w:sz w:val="21"/>
          <w:szCs w:val="21"/>
          <w:lang w:val="en-US" w:eastAsia="zh-CN" w:bidi="ar"/>
        </w:rPr>
      </w:pPr>
      <w:r>
        <w:rPr>
          <w:rFonts w:hint="eastAsia" w:ascii="Arial" w:hAnsi="Arial" w:eastAsia="Times New Roman" w:cs="Times New Roman"/>
          <w:b/>
          <w:bCs w:val="0"/>
          <w:kern w:val="0"/>
          <w:sz w:val="21"/>
          <w:szCs w:val="21"/>
          <w:lang w:val="en-US" w:eastAsia="zh-CN" w:bidi="ar"/>
        </w:rPr>
        <w:t xml:space="preserve">- </w:t>
      </w:r>
      <w:r>
        <w:rPr>
          <w:rFonts w:hint="default" w:ascii="Arial" w:hAnsi="Arial" w:eastAsia="Times New Roman" w:cs="Times New Roman"/>
          <w:b/>
          <w:bCs w:val="0"/>
          <w:kern w:val="0"/>
          <w:sz w:val="21"/>
          <w:szCs w:val="21"/>
          <w:lang w:val="en-US" w:eastAsia="zh-CN" w:bidi="ar"/>
        </w:rPr>
        <w:t xml:space="preserve">In the RRC procedures, the complete candidate configuration is applied and replacing the current UE configuration (at the time of </w:t>
      </w:r>
      <w:r>
        <w:rPr>
          <w:rFonts w:hint="eastAsia" w:ascii="Arial" w:hAnsi="Arial" w:eastAsia="Times New Roman" w:cs="Times New Roman"/>
          <w:b/>
          <w:bCs w:val="0"/>
          <w:kern w:val="0"/>
          <w:sz w:val="21"/>
          <w:szCs w:val="21"/>
          <w:lang w:val="en-US" w:eastAsia="zh-CN" w:bidi="ar"/>
        </w:rPr>
        <w:t>subsequent CPAC</w:t>
      </w:r>
      <w:r>
        <w:rPr>
          <w:rFonts w:hint="default" w:ascii="Arial" w:hAnsi="Arial" w:eastAsia="Times New Roman" w:cs="Times New Roman"/>
          <w:b/>
          <w:bCs w:val="0"/>
          <w:kern w:val="0"/>
          <w:sz w:val="21"/>
          <w:szCs w:val="21"/>
          <w:lang w:val="en-US" w:eastAsia="zh-CN" w:bidi="ar"/>
        </w:rPr>
        <w:t xml:space="preserve"> execution)</w:t>
      </w:r>
      <w:r>
        <w:rPr>
          <w:rFonts w:hint="eastAsia" w:ascii="Arial" w:hAnsi="Arial" w:eastAsia="Times New Roman" w:cs="Times New Roman"/>
          <w:b/>
          <w:bCs w:val="0"/>
          <w:kern w:val="0"/>
          <w:sz w:val="21"/>
          <w:szCs w:val="21"/>
          <w:lang w:val="en-US" w:eastAsia="zh-CN" w:bidi="ar"/>
        </w:rPr>
        <w:t>.</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ascii="Arial" w:hAnsi="Arial" w:eastAsia="Times New Roman" w:cs="Times New Roman"/>
          <w:b/>
          <w:bCs w:val="0"/>
          <w:kern w:val="0"/>
          <w:sz w:val="21"/>
          <w:szCs w:val="21"/>
          <w:lang w:val="en-US" w:eastAsia="zh-CN" w:bidi="ar"/>
        </w:rPr>
      </w:pPr>
      <w:r>
        <w:rPr>
          <w:rFonts w:hint="eastAsia" w:ascii="Arial" w:hAnsi="Arial" w:eastAsia="Times New Roman" w:cs="Times New Roman"/>
          <w:b/>
          <w:bCs w:val="0"/>
          <w:kern w:val="0"/>
          <w:sz w:val="21"/>
          <w:szCs w:val="21"/>
          <w:lang w:val="en-US" w:eastAsia="zh-CN" w:bidi="ar"/>
        </w:rPr>
        <w:t>- A UE capability to indicate the support of the reference configuration is introduced. If reference configuration is not supported then complete candidate configurations has to be used.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During the post email discussion [2], there are two understanding on the previous RAN2 agreement </w:t>
      </w:r>
      <w:r>
        <w:rPr>
          <w:rFonts w:hint="default" w:ascii="Arial" w:hAnsi="Arial" w:eastAsia="宋体" w:cs="Arial"/>
          <w:b w:val="0"/>
          <w:bCs w:val="0"/>
          <w:kern w:val="0"/>
          <w:szCs w:val="21"/>
          <w:lang w:val="en-US" w:eastAsia="zh-CN"/>
        </w:rPr>
        <w:t>“</w:t>
      </w:r>
      <w:r>
        <w:rPr>
          <w:rFonts w:hint="default" w:ascii="Arial" w:hAnsi="Arial" w:eastAsia="宋体" w:cs="Arial"/>
          <w:b w:val="0"/>
          <w:bCs w:val="0"/>
          <w:i/>
          <w:iCs/>
          <w:kern w:val="0"/>
          <w:szCs w:val="21"/>
          <w:lang w:val="en-US" w:eastAsia="zh-CN"/>
        </w:rPr>
        <w:t>Assume for now that there is only one refer</w:t>
      </w:r>
      <w:bookmarkStart w:id="5" w:name="_GoBack"/>
      <w:bookmarkEnd w:id="5"/>
      <w:r>
        <w:rPr>
          <w:rFonts w:hint="default" w:ascii="Arial" w:hAnsi="Arial" w:eastAsia="宋体" w:cs="Arial"/>
          <w:b w:val="0"/>
          <w:bCs w:val="0"/>
          <w:i/>
          <w:iCs/>
          <w:kern w:val="0"/>
          <w:szCs w:val="21"/>
          <w:lang w:val="en-US" w:eastAsia="zh-CN"/>
        </w:rPr>
        <w:t>ence configuration</w:t>
      </w:r>
      <w:r>
        <w:rPr>
          <w:rFonts w:hint="default" w:ascii="Arial" w:hAnsi="Arial" w:eastAsia="宋体" w:cs="Arial"/>
          <w:b w:val="0"/>
          <w:bCs w:val="0"/>
          <w:kern w:val="0"/>
          <w:szCs w:val="21"/>
          <w:lang w:val="en-US" w:eastAsia="zh-CN"/>
        </w:rPr>
        <w:t>”</w:t>
      </w:r>
      <w:r>
        <w:rPr>
          <w:rFonts w:hint="eastAsia" w:ascii="Arial" w:hAnsi="Arial" w:eastAsia="宋体" w:cs="Arial"/>
          <w:b w:val="0"/>
          <w:bCs w:val="0"/>
          <w:kern w:val="0"/>
          <w:szCs w:val="21"/>
          <w:lang w:val="en-US" w:eastAsia="zh-CN"/>
        </w:rPr>
        <w:t xml:space="preserve"> :</w:t>
      </w:r>
    </w:p>
    <w:p>
      <w:pPr>
        <w:pStyle w:val="6"/>
        <w:numPr>
          <w:ilvl w:val="0"/>
          <w:numId w:val="0"/>
        </w:numPr>
        <w:ind w:left="420" w:leftChars="0"/>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 </w:t>
      </w:r>
      <w:r>
        <w:rPr>
          <w:rFonts w:hint="default" w:ascii="Arial" w:hAnsi="Arial" w:cs="Arial"/>
          <w:color w:val="000000" w:themeColor="text1"/>
          <w:lang w:val="en-US" w:eastAsia="zh-CN"/>
          <w14:textFill>
            <w14:solidFill>
              <w14:schemeClr w14:val="tx1"/>
            </w14:solidFill>
          </w14:textFill>
        </w:rPr>
        <w:t>Understanding1: There is only one reference configuration for MN/SN initiated inter-SN SCPAC and SN-initiated intra-SN SCPAC.</w:t>
      </w:r>
    </w:p>
    <w:p>
      <w:pPr>
        <w:pStyle w:val="6"/>
        <w:numPr>
          <w:ilvl w:val="0"/>
          <w:numId w:val="0"/>
        </w:numPr>
        <w:ind w:left="420" w:leftChars="0"/>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 </w:t>
      </w:r>
      <w:r>
        <w:rPr>
          <w:rFonts w:hint="default" w:ascii="Arial" w:hAnsi="Arial" w:cs="Arial"/>
          <w:color w:val="000000" w:themeColor="text1"/>
          <w:lang w:val="en-US" w:eastAsia="zh-CN"/>
          <w14:textFill>
            <w14:solidFill>
              <w14:schemeClr w14:val="tx1"/>
            </w14:solidFill>
          </w14:textFill>
        </w:rPr>
        <w:t xml:space="preserve">Understanding2: There is only one reference configuration for each scenario, i.e., one reference configuration for MN/SN initiated inter-SN SCPAC and one reference configuration for SN-initiated intra-SN SCPAC.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Similar to legacy CPC, the MN is not involved for SN-initiated intra-SN subsequent CPAC, however, MN is always involved for MN/SN-initiated subsequent inter-SN procedure. Therefore, it is straightforward and simple to introduce separate reference configuration for </w:t>
      </w:r>
      <w:r>
        <w:rPr>
          <w:rFonts w:hint="default" w:ascii="Arial" w:hAnsi="Arial" w:cs="Arial"/>
          <w:color w:val="000000" w:themeColor="text1"/>
          <w:lang w:val="en-US" w:eastAsia="zh-CN"/>
          <w14:textFill>
            <w14:solidFill>
              <w14:schemeClr w14:val="tx1"/>
            </w14:solidFill>
          </w14:textFill>
        </w:rPr>
        <w:t>MN/SN initiated inter-SN SCPAC</w:t>
      </w:r>
      <w:r>
        <w:rPr>
          <w:rFonts w:hint="eastAsia" w:ascii="Arial" w:hAnsi="Arial" w:cs="Arial"/>
          <w:color w:val="000000" w:themeColor="text1"/>
          <w:lang w:val="en-US" w:eastAsia="zh-CN"/>
          <w14:textFill>
            <w14:solidFill>
              <w14:schemeClr w14:val="tx1"/>
            </w14:solidFill>
          </w14:textFill>
        </w:rPr>
        <w:t xml:space="preserve"> and </w:t>
      </w:r>
      <w:r>
        <w:rPr>
          <w:rFonts w:hint="default" w:ascii="Arial" w:hAnsi="Arial" w:cs="Arial"/>
          <w:color w:val="000000" w:themeColor="text1"/>
          <w:lang w:val="en-US" w:eastAsia="zh-CN"/>
          <w14:textFill>
            <w14:solidFill>
              <w14:schemeClr w14:val="tx1"/>
            </w14:solidFill>
          </w14:textFill>
        </w:rPr>
        <w:t>SN-initiated intra-SN SCPAC</w:t>
      </w:r>
      <w:r>
        <w:rPr>
          <w:rFonts w:hint="eastAsia" w:ascii="Arial" w:hAnsi="Arial" w:cs="Arial"/>
          <w:color w:val="000000" w:themeColor="text1"/>
          <w:lang w:val="en-US" w:eastAsia="zh-CN"/>
          <w14:textFill>
            <w14:solidFill>
              <w14:schemeClr w14:val="tx1"/>
            </w14:solidFill>
          </w14:textFill>
        </w:rPr>
        <w:t xml:space="preserve">. Moreover, </w:t>
      </w:r>
      <w:r>
        <w:rPr>
          <w:rFonts w:hint="eastAsia" w:ascii="Arial" w:hAnsi="Arial" w:eastAsia="宋体" w:cs="Arial"/>
          <w:b w:val="0"/>
          <w:bCs w:val="0"/>
          <w:kern w:val="0"/>
          <w:szCs w:val="21"/>
          <w:lang w:val="en-US" w:eastAsia="zh-CN"/>
        </w:rPr>
        <w:t xml:space="preserve">SN can be responsible to generate the reference configuration for </w:t>
      </w:r>
      <w:r>
        <w:rPr>
          <w:rFonts w:hint="default" w:ascii="Arial" w:hAnsi="Arial" w:cs="Arial"/>
          <w:color w:val="000000" w:themeColor="text1"/>
          <w:lang w:val="en-US" w:eastAsia="zh-CN"/>
          <w14:textFill>
            <w14:solidFill>
              <w14:schemeClr w14:val="tx1"/>
            </w14:solidFill>
          </w14:textFill>
        </w:rPr>
        <w:t>intra-SN SCPAC</w:t>
      </w:r>
      <w:r>
        <w:rPr>
          <w:rFonts w:hint="eastAsia" w:ascii="Arial" w:hAnsi="Arial" w:cs="Arial"/>
          <w:color w:val="000000" w:themeColor="text1"/>
          <w:lang w:val="en-US" w:eastAsia="zh-CN"/>
          <w14:textFill>
            <w14:solidFill>
              <w14:schemeClr w14:val="tx1"/>
            </w14:solidFill>
          </w14:textFill>
        </w:rPr>
        <w:t xml:space="preserve"> without MN involvement</w:t>
      </w:r>
      <w:r>
        <w:rPr>
          <w:rFonts w:hint="eastAsia" w:ascii="Arial" w:hAnsi="Arial" w:eastAsia="宋体" w:cs="Arial"/>
          <w:b w:val="0"/>
          <w:bCs w:val="0"/>
          <w:kern w:val="0"/>
          <w:szCs w:val="21"/>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color w:val="000000" w:themeColor="text1"/>
          <w:lang w:val="en-US" w:eastAsia="zh-CN"/>
          <w14:textFill>
            <w14:solidFill>
              <w14:schemeClr w14:val="tx1"/>
            </w14:solidFill>
          </w14:textFill>
        </w:rPr>
      </w:pPr>
      <w:r>
        <w:rPr>
          <w:rFonts w:hint="eastAsia" w:ascii="Arial" w:hAnsi="Arial" w:eastAsia="宋体" w:cs="Arial"/>
          <w:b/>
          <w:bCs/>
          <w:kern w:val="0"/>
          <w:szCs w:val="21"/>
          <w:lang w:val="en-US" w:eastAsia="zh-CN"/>
        </w:rPr>
        <w:t xml:space="preserve">Proposal 3: There is only one reference configuration </w:t>
      </w:r>
      <w:r>
        <w:rPr>
          <w:rFonts w:hint="default" w:ascii="Arial" w:hAnsi="Arial" w:cs="Arial"/>
          <w:b/>
          <w:bCs/>
          <w:color w:val="000000" w:themeColor="text1"/>
          <w:lang w:val="en-US" w:eastAsia="zh-CN"/>
          <w14:textFill>
            <w14:solidFill>
              <w14:schemeClr w14:val="tx1"/>
            </w14:solidFill>
          </w14:textFill>
        </w:rPr>
        <w:t>for MN/SN initiated inter-SN SCPAC and one reference configuration for SN-initiated intra-SN SCPAC.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color w:val="000000" w:themeColor="text1"/>
          <w:lang w:val="en-US" w:eastAsia="zh-CN"/>
          <w14:textFill>
            <w14:solidFill>
              <w14:schemeClr w14:val="tx1"/>
            </w14:solidFill>
          </w14:textFill>
        </w:rPr>
      </w:pPr>
      <w:r>
        <w:rPr>
          <w:rFonts w:hint="eastAsia" w:ascii="Arial" w:hAnsi="Arial" w:cs="Arial"/>
          <w:b/>
          <w:bCs/>
          <w:color w:val="000000" w:themeColor="text1"/>
          <w:lang w:val="en-US" w:eastAsia="zh-CN"/>
          <w14:textFill>
            <w14:solidFill>
              <w14:schemeClr w14:val="tx1"/>
            </w14:solidFill>
          </w14:textFill>
        </w:rPr>
        <w:t>Proposal 4：The SN is responsible to generate the reference configuration for intra-SN SCPAC without MN involvement.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color w:val="000000" w:themeColor="text1"/>
          <w:lang w:val="en-US" w:eastAsia="zh-CN"/>
          <w14:textFill>
            <w14:solidFill>
              <w14:schemeClr w14:val="tx1"/>
            </w14:solidFill>
          </w14:textFill>
        </w:rPr>
      </w:pPr>
    </w:p>
    <w:p>
      <w:pPr>
        <w:keepNext/>
        <w:keepLines/>
        <w:widowControl/>
        <w:numPr>
          <w:ilvl w:val="1"/>
          <w:numId w:val="8"/>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Security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For SK-counter configuration update/release, we prefer the granularity is per SK-counter list since it is simple and has minor spec impacts. When the UE receives the updated SK-counter list, the UE replaces the complete list stored in its variable.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5: The granularity of SK-counter configuration update/release is per SK-counter list.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Another issue is the UE behavior if all the configured SK-counters has been used out. In our understanding, we think the UE should stop subsequent CPAC evaluation for the corresponding SN since the UE cannot access this SN again due to lack of unused SK-counter in this scenario. If we leave it to NW implementation to ensure there is at least a unused SK-counter, that means the NW should always update the SK-counter list when there is no unused SK-counter which will limit the NW flexibility. Thus, we prefer to specify UE behaviour in this case.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6: The UE should stop subsequent CPAC evaluation for the corresponding SN if all the configured SK-counters has been used out.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NR-DC with selective activation cell of groups</w:t>
      </w:r>
      <w:r>
        <w:rPr>
          <w:rFonts w:ascii="Arial" w:hAnsi="Arial" w:eastAsia="宋体" w:cs="Arial"/>
          <w:kern w:val="0"/>
          <w:sz w:val="21"/>
          <w:szCs w:val="21"/>
          <w:lang w:val="en-GB" w:eastAsia="en-US"/>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SCG failure handling:</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UE is not required to continue evaluation for subsequent CPAC upon transmission of the </w:t>
      </w:r>
      <w:r>
        <w:rPr>
          <w:rFonts w:hint="eastAsia" w:ascii="Arial" w:hAnsi="Arial" w:eastAsia="宋体" w:cs="Arial"/>
          <w:b/>
          <w:bCs/>
          <w:i/>
          <w:iCs/>
          <w:kern w:val="0"/>
          <w:szCs w:val="21"/>
          <w:lang w:val="en-US" w:eastAsia="zh-CN"/>
        </w:rPr>
        <w:t>SCGFailureInformation</w:t>
      </w:r>
      <w:r>
        <w:rPr>
          <w:rFonts w:hint="eastAsia" w:ascii="Arial" w:hAnsi="Arial" w:eastAsia="宋体" w:cs="Arial"/>
          <w:b/>
          <w:bCs/>
          <w:i w:val="0"/>
          <w:iCs w:val="0"/>
          <w:kern w:val="0"/>
          <w:szCs w:val="21"/>
          <w:lang w:val="en-US" w:eastAsia="zh-CN"/>
        </w:rPr>
        <w:t xml:space="preserve"> message</w:t>
      </w:r>
      <w:r>
        <w:rPr>
          <w:rFonts w:hint="eastAsia" w:ascii="Arial" w:hAnsi="Arial" w:eastAsia="宋体" w:cs="Arial"/>
          <w:b/>
          <w:bCs/>
          <w:kern w:val="0"/>
          <w:szCs w:val="21"/>
          <w:lang w:val="en-US" w:eastAsia="zh-CN"/>
        </w:rPr>
        <w:t xml:space="preserve"> to the MN</w:t>
      </w:r>
      <w:r>
        <w:rPr>
          <w:rFonts w:hint="eastAsia" w:ascii="Arial" w:hAnsi="Arial" w:eastAsia="宋体" w:cs="Arial"/>
          <w:b/>
          <w:bCs/>
          <w:kern w:val="0"/>
          <w:szCs w:val="21"/>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Reference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bCs/>
          <w:kern w:val="0"/>
          <w:sz w:val="21"/>
          <w:szCs w:val="21"/>
          <w:lang w:val="en-US" w:eastAsia="zh-CN"/>
        </w:rPr>
        <w:t>Proposal 2: For subsequent CPAC, follow the similar mechanism on the complete configuration generation/application as LTM.</w:t>
      </w:r>
      <w:r>
        <w:rPr>
          <w:rFonts w:hint="eastAsia" w:ascii="Arial" w:hAnsi="Arial" w:eastAsia="宋体" w:cs="Arial"/>
          <w:b w:val="0"/>
          <w:bCs w:val="0"/>
          <w:ker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reference configuration is always explicitly signaled (not automatically derived from any other config, e.g. current).</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reference configuration can be empty or a complete configuration which is up to network implementation.</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ascii="Arial" w:hAnsi="Arial" w:eastAsia="Times New Roman" w:cs="Times New Roman"/>
          <w:b/>
          <w:bCs w:val="0"/>
          <w:kern w:val="0"/>
          <w:sz w:val="21"/>
          <w:szCs w:val="21"/>
          <w:lang w:val="en-US" w:eastAsia="zh-CN" w:bidi="ar"/>
        </w:rPr>
      </w:pPr>
      <w:r>
        <w:rPr>
          <w:rFonts w:hint="eastAsia" w:ascii="Arial" w:hAnsi="Arial" w:eastAsia="宋体" w:cs="Arial"/>
          <w:b w:val="0"/>
          <w:bCs w:val="0"/>
          <w:kern w:val="0"/>
          <w:sz w:val="21"/>
          <w:szCs w:val="21"/>
          <w:lang w:val="en-US" w:eastAsia="zh-CN"/>
        </w:rPr>
        <w:t xml:space="preserve">- </w:t>
      </w:r>
      <w:r>
        <w:rPr>
          <w:rFonts w:ascii="Arial" w:hAnsi="Arial" w:eastAsia="Times New Roman" w:cs="Times New Roman"/>
          <w:b/>
          <w:bCs w:val="0"/>
          <w:kern w:val="0"/>
          <w:sz w:val="21"/>
          <w:szCs w:val="21"/>
          <w:lang w:val="en-US" w:eastAsia="zh-CN" w:bidi="ar"/>
        </w:rPr>
        <w:t>Reference configuration + candidate configuration (in combination) has to be a complete configuration.</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eastAsia" w:ascii="Arial" w:hAnsi="Arial" w:eastAsia="Times New Roman" w:cs="Times New Roman"/>
          <w:b/>
          <w:bCs w:val="0"/>
          <w:kern w:val="0"/>
          <w:sz w:val="21"/>
          <w:szCs w:val="21"/>
          <w:lang w:val="en-US" w:eastAsia="zh-CN" w:bidi="ar"/>
        </w:rPr>
      </w:pPr>
      <w:r>
        <w:rPr>
          <w:rFonts w:hint="eastAsia" w:ascii="Arial" w:hAnsi="Arial" w:eastAsia="Times New Roman" w:cs="Times New Roman"/>
          <w:b/>
          <w:bCs w:val="0"/>
          <w:kern w:val="0"/>
          <w:sz w:val="21"/>
          <w:szCs w:val="21"/>
          <w:lang w:val="en-US" w:eastAsia="zh-CN" w:bidi="ar"/>
        </w:rPr>
        <w:t xml:space="preserve">- </w:t>
      </w:r>
      <w:r>
        <w:rPr>
          <w:rFonts w:hint="default" w:ascii="Arial" w:hAnsi="Arial" w:eastAsia="Times New Roman" w:cs="Times New Roman"/>
          <w:b/>
          <w:bCs w:val="0"/>
          <w:kern w:val="0"/>
          <w:sz w:val="21"/>
          <w:szCs w:val="21"/>
          <w:lang w:val="en-US" w:eastAsia="zh-CN" w:bidi="ar"/>
        </w:rPr>
        <w:t xml:space="preserve">In the RRC procedures, the complete candidate configuration is applied and replacing the current UE configuration (at the time of </w:t>
      </w:r>
      <w:r>
        <w:rPr>
          <w:rFonts w:hint="eastAsia" w:ascii="Arial" w:hAnsi="Arial" w:eastAsia="Times New Roman" w:cs="Times New Roman"/>
          <w:b/>
          <w:bCs w:val="0"/>
          <w:kern w:val="0"/>
          <w:sz w:val="21"/>
          <w:szCs w:val="21"/>
          <w:lang w:val="en-US" w:eastAsia="zh-CN" w:bidi="ar"/>
        </w:rPr>
        <w:t>subsequent CPAC</w:t>
      </w:r>
      <w:r>
        <w:rPr>
          <w:rFonts w:hint="default" w:ascii="Arial" w:hAnsi="Arial" w:eastAsia="Times New Roman" w:cs="Times New Roman"/>
          <w:b/>
          <w:bCs w:val="0"/>
          <w:kern w:val="0"/>
          <w:sz w:val="21"/>
          <w:szCs w:val="21"/>
          <w:lang w:val="en-US" w:eastAsia="zh-CN" w:bidi="ar"/>
        </w:rPr>
        <w:t xml:space="preserve"> execution)</w:t>
      </w:r>
      <w:r>
        <w:rPr>
          <w:rFonts w:hint="eastAsia" w:ascii="Arial" w:hAnsi="Arial" w:eastAsia="Times New Roman" w:cs="Times New Roman"/>
          <w:b/>
          <w:bCs w:val="0"/>
          <w:kern w:val="0"/>
          <w:sz w:val="21"/>
          <w:szCs w:val="21"/>
          <w:lang w:val="en-US" w:eastAsia="zh-CN" w:bidi="ar"/>
        </w:rPr>
        <w:t>.</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ascii="Arial" w:hAnsi="Arial" w:eastAsia="Times New Roman" w:cs="Times New Roman"/>
          <w:b/>
          <w:bCs w:val="0"/>
          <w:kern w:val="0"/>
          <w:sz w:val="21"/>
          <w:szCs w:val="21"/>
          <w:lang w:val="en-US" w:eastAsia="zh-CN" w:bidi="ar"/>
        </w:rPr>
      </w:pPr>
      <w:r>
        <w:rPr>
          <w:rFonts w:hint="eastAsia" w:ascii="Arial" w:hAnsi="Arial" w:eastAsia="Times New Roman" w:cs="Times New Roman"/>
          <w:b/>
          <w:bCs w:val="0"/>
          <w:kern w:val="0"/>
          <w:sz w:val="21"/>
          <w:szCs w:val="21"/>
          <w:lang w:val="en-US" w:eastAsia="zh-CN" w:bidi="ar"/>
        </w:rPr>
        <w:t>- A UE capability to indicate the support of the reference configuration is introduced. If reference configuration is not supported then complete candidate configurations has to be used.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color w:val="000000" w:themeColor="text1"/>
          <w:lang w:val="en-US" w:eastAsia="zh-CN"/>
          <w14:textFill>
            <w14:solidFill>
              <w14:schemeClr w14:val="tx1"/>
            </w14:solidFill>
          </w14:textFill>
        </w:rPr>
      </w:pPr>
      <w:r>
        <w:rPr>
          <w:rFonts w:hint="eastAsia" w:ascii="Arial" w:hAnsi="Arial" w:eastAsia="宋体" w:cs="Arial"/>
          <w:b/>
          <w:bCs/>
          <w:kern w:val="0"/>
          <w:szCs w:val="21"/>
          <w:lang w:val="en-US" w:eastAsia="zh-CN"/>
        </w:rPr>
        <w:t xml:space="preserve">Proposal 3: There is only one reference configuration </w:t>
      </w:r>
      <w:r>
        <w:rPr>
          <w:rFonts w:hint="default" w:ascii="Arial" w:hAnsi="Arial" w:cs="Arial"/>
          <w:b/>
          <w:bCs/>
          <w:color w:val="000000" w:themeColor="text1"/>
          <w:lang w:val="en-US" w:eastAsia="zh-CN"/>
          <w14:textFill>
            <w14:solidFill>
              <w14:schemeClr w14:val="tx1"/>
            </w14:solidFill>
          </w14:textFill>
        </w:rPr>
        <w:t>for MN/SN initiated inter-SN SCPAC and one reference configuration for SN-initiated intra-SN SCPAC.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color w:val="000000" w:themeColor="text1"/>
          <w:lang w:val="en-US" w:eastAsia="zh-CN"/>
          <w14:textFill>
            <w14:solidFill>
              <w14:schemeClr w14:val="tx1"/>
            </w14:solidFill>
          </w14:textFill>
        </w:rPr>
      </w:pPr>
      <w:r>
        <w:rPr>
          <w:rFonts w:hint="eastAsia" w:ascii="Arial" w:hAnsi="Arial" w:cs="Arial"/>
          <w:b/>
          <w:bCs/>
          <w:color w:val="000000" w:themeColor="text1"/>
          <w:lang w:val="en-US" w:eastAsia="zh-CN"/>
          <w14:textFill>
            <w14:solidFill>
              <w14:schemeClr w14:val="tx1"/>
            </w14:solidFill>
          </w14:textFill>
        </w:rPr>
        <w:t>Proposal 4：The SN is responsible to generate the reference configuration for intra-SN SCPAC without MN involvement.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Security: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5: The granularity of SK-counter configuration update/release is per SK-counter list.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6: The UE should stop subsequent CPAC evaluation for the corresponding SN if all the configured SK-counters has been used out.</w:t>
      </w:r>
    </w:p>
    <w:p>
      <w:pPr>
        <w:widowControl/>
        <w:spacing w:after="180"/>
        <w:rPr>
          <w:rFonts w:hint="default" w:ascii="Arial" w:hAnsi="Arial" w:eastAsia="宋体" w:cs="Arial"/>
          <w:b/>
          <w:bCs/>
          <w:kern w:val="0"/>
          <w:szCs w:val="21"/>
          <w:u w:val="single"/>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R2-230</w:t>
      </w:r>
      <w:r>
        <w:rPr>
          <w:rFonts w:hint="eastAsia" w:ascii="Arial" w:hAnsi="Arial" w:eastAsia="宋体" w:cs="Arial"/>
          <w:kern w:val="0"/>
          <w:sz w:val="20"/>
          <w:szCs w:val="20"/>
          <w:lang w:val="en-US" w:eastAsia="zh-CN"/>
        </w:rPr>
        <w:t xml:space="preserve">XXXX [Post123][054][feMob] Stage-2 Signalling Open Issues and Running CR 37340 (ZTE) </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R2-230</w:t>
      </w:r>
      <w:r>
        <w:rPr>
          <w:rFonts w:hint="eastAsia" w:ascii="Arial" w:hAnsi="Arial" w:eastAsia="宋体" w:cs="Arial"/>
          <w:kern w:val="0"/>
          <w:sz w:val="20"/>
          <w:szCs w:val="20"/>
          <w:lang w:val="en-US" w:eastAsia="zh-CN"/>
        </w:rPr>
        <w:t xml:space="preserve">XXXX [Post123][046][feMob] subsequent CPAC security (Nokia) </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37.340 Evolved Universal Terrestrial Radio Access (E-UTRA) and NR; Multi-connectivity; Stage 2</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Helvetica-BoldOblique">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Helvetica-Obliqu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0906A"/>
    <w:multiLevelType w:val="multilevel"/>
    <w:tmpl w:val="AB30906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F7DF2D2B"/>
    <w:multiLevelType w:val="multilevel"/>
    <w:tmpl w:val="F7DF2D2B"/>
    <w:lvl w:ilvl="0" w:tentative="0">
      <w:start w:val="1"/>
      <w:numFmt w:val="bullet"/>
      <w:lvlText w:val=""/>
      <w:lvlJc w:val="left"/>
      <w:pPr>
        <w:tabs>
          <w:tab w:val="left" w:pos="-742"/>
        </w:tabs>
        <w:ind w:left="-742" w:hanging="360"/>
      </w:pPr>
      <w:rPr>
        <w:rFonts w:ascii="Symbol" w:hAnsi="Symbol" w:cs="Symbol"/>
        <w:b/>
        <w:i w:val="0"/>
        <w:color w:val="auto"/>
        <w:sz w:val="22"/>
      </w:rPr>
    </w:lvl>
    <w:lvl w:ilvl="1" w:tentative="0">
      <w:start w:val="1"/>
      <w:numFmt w:val="bullet"/>
      <w:lvlText w:val="o"/>
      <w:lvlJc w:val="left"/>
      <w:pPr>
        <w:tabs>
          <w:tab w:val="left" w:pos="-1493"/>
        </w:tabs>
        <w:ind w:left="-1493" w:hanging="360"/>
      </w:pPr>
      <w:rPr>
        <w:rFonts w:ascii="Courier New" w:hAnsi="Courier New" w:cs="Courier New"/>
      </w:rPr>
    </w:lvl>
    <w:lvl w:ilvl="2" w:tentative="0">
      <w:start w:val="1"/>
      <w:numFmt w:val="bullet"/>
      <w:lvlText w:val=""/>
      <w:lvlJc w:val="left"/>
      <w:pPr>
        <w:tabs>
          <w:tab w:val="left" w:pos="-773"/>
        </w:tabs>
        <w:ind w:left="-773" w:hanging="360"/>
      </w:pPr>
      <w:rPr>
        <w:rFonts w:hint="default" w:ascii="Wingdings" w:hAnsi="Wingdings" w:cs="Wingdings"/>
      </w:rPr>
    </w:lvl>
    <w:lvl w:ilvl="3" w:tentative="0">
      <w:start w:val="1"/>
      <w:numFmt w:val="bullet"/>
      <w:lvlText w:val=""/>
      <w:lvlJc w:val="left"/>
      <w:pPr>
        <w:tabs>
          <w:tab w:val="left" w:pos="-53"/>
        </w:tabs>
        <w:ind w:left="-53" w:hanging="360"/>
      </w:pPr>
      <w:rPr>
        <w:rFonts w:hint="default" w:ascii="Symbol" w:hAnsi="Symbol" w:cs="Symbol"/>
      </w:rPr>
    </w:lvl>
    <w:lvl w:ilvl="4" w:tentative="0">
      <w:start w:val="1"/>
      <w:numFmt w:val="bullet"/>
      <w:lvlText w:val="o"/>
      <w:lvlJc w:val="left"/>
      <w:pPr>
        <w:tabs>
          <w:tab w:val="left" w:pos="667"/>
        </w:tabs>
        <w:ind w:left="667" w:hanging="360"/>
      </w:pPr>
      <w:rPr>
        <w:rFonts w:hint="default" w:ascii="Courier New" w:hAnsi="Courier New" w:cs="Courier New"/>
      </w:rPr>
    </w:lvl>
    <w:lvl w:ilvl="5" w:tentative="0">
      <w:start w:val="1"/>
      <w:numFmt w:val="bullet"/>
      <w:lvlText w:val=""/>
      <w:lvlJc w:val="left"/>
      <w:pPr>
        <w:tabs>
          <w:tab w:val="left" w:pos="1387"/>
        </w:tabs>
        <w:ind w:left="1387" w:hanging="360"/>
      </w:pPr>
      <w:rPr>
        <w:rFonts w:hint="default" w:ascii="Wingdings" w:hAnsi="Wingdings" w:cs="Wingdings"/>
      </w:rPr>
    </w:lvl>
    <w:lvl w:ilvl="6" w:tentative="0">
      <w:start w:val="1"/>
      <w:numFmt w:val="bullet"/>
      <w:lvlText w:val=""/>
      <w:lvlJc w:val="left"/>
      <w:pPr>
        <w:tabs>
          <w:tab w:val="left" w:pos="2107"/>
        </w:tabs>
        <w:ind w:left="2107" w:hanging="360"/>
      </w:pPr>
      <w:rPr>
        <w:rFonts w:hint="default" w:ascii="Symbol" w:hAnsi="Symbol" w:cs="Symbol"/>
      </w:rPr>
    </w:lvl>
    <w:lvl w:ilvl="7" w:tentative="0">
      <w:start w:val="1"/>
      <w:numFmt w:val="bullet"/>
      <w:lvlText w:val="o"/>
      <w:lvlJc w:val="left"/>
      <w:pPr>
        <w:tabs>
          <w:tab w:val="left" w:pos="2827"/>
        </w:tabs>
        <w:ind w:left="2827" w:hanging="360"/>
      </w:pPr>
      <w:rPr>
        <w:rFonts w:hint="default" w:ascii="Courier New" w:hAnsi="Courier New" w:cs="Courier New"/>
      </w:rPr>
    </w:lvl>
    <w:lvl w:ilvl="8" w:tentative="0">
      <w:start w:val="1"/>
      <w:numFmt w:val="bullet"/>
      <w:lvlText w:val=""/>
      <w:lvlJc w:val="left"/>
      <w:pPr>
        <w:tabs>
          <w:tab w:val="left" w:pos="3547"/>
        </w:tabs>
        <w:ind w:left="3547" w:hanging="360"/>
      </w:pPr>
      <w:rPr>
        <w:rFonts w:hint="default" w:ascii="Wingdings" w:hAnsi="Wingdings" w:cs="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rPr>
    </w:lvl>
    <w:lvl w:ilvl="1" w:tentative="0">
      <w:start w:val="1"/>
      <w:numFmt w:val="lowerLetter"/>
      <w:lvlText w:val="%2."/>
      <w:lvlJc w:val="left"/>
      <w:pPr>
        <w:tabs>
          <w:tab w:val="left" w:pos="447"/>
        </w:tabs>
        <w:ind w:left="447" w:hanging="360"/>
      </w:pPr>
    </w:lvl>
    <w:lvl w:ilvl="2" w:tentative="0">
      <w:start w:val="1"/>
      <w:numFmt w:val="lowerRoman"/>
      <w:lvlText w:val="%3."/>
      <w:lvlJc w:val="right"/>
      <w:pPr>
        <w:tabs>
          <w:tab w:val="left" w:pos="1167"/>
        </w:tabs>
        <w:ind w:left="1167" w:hanging="180"/>
      </w:pPr>
    </w:lvl>
    <w:lvl w:ilvl="3" w:tentative="0">
      <w:start w:val="1"/>
      <w:numFmt w:val="decimal"/>
      <w:lvlText w:val="%4."/>
      <w:lvlJc w:val="left"/>
      <w:pPr>
        <w:tabs>
          <w:tab w:val="left" w:pos="1887"/>
        </w:tabs>
        <w:ind w:left="1887" w:hanging="360"/>
      </w:pPr>
    </w:lvl>
    <w:lvl w:ilvl="4" w:tentative="0">
      <w:start w:val="1"/>
      <w:numFmt w:val="lowerLetter"/>
      <w:lvlText w:val="%5."/>
      <w:lvlJc w:val="left"/>
      <w:pPr>
        <w:tabs>
          <w:tab w:val="left" w:pos="2607"/>
        </w:tabs>
        <w:ind w:left="2607" w:hanging="360"/>
      </w:pPr>
    </w:lvl>
    <w:lvl w:ilvl="5" w:tentative="0">
      <w:start w:val="1"/>
      <w:numFmt w:val="lowerRoman"/>
      <w:lvlText w:val="%6."/>
      <w:lvlJc w:val="right"/>
      <w:pPr>
        <w:tabs>
          <w:tab w:val="left" w:pos="3327"/>
        </w:tabs>
        <w:ind w:left="3327" w:hanging="180"/>
      </w:pPr>
    </w:lvl>
    <w:lvl w:ilvl="6" w:tentative="0">
      <w:start w:val="1"/>
      <w:numFmt w:val="decimal"/>
      <w:lvlText w:val="%7."/>
      <w:lvlJc w:val="left"/>
      <w:pPr>
        <w:tabs>
          <w:tab w:val="left" w:pos="4047"/>
        </w:tabs>
        <w:ind w:left="4047" w:hanging="360"/>
      </w:pPr>
    </w:lvl>
    <w:lvl w:ilvl="7" w:tentative="0">
      <w:start w:val="1"/>
      <w:numFmt w:val="lowerLetter"/>
      <w:lvlText w:val="%8."/>
      <w:lvlJc w:val="left"/>
      <w:pPr>
        <w:tabs>
          <w:tab w:val="left" w:pos="4767"/>
        </w:tabs>
        <w:ind w:left="4767" w:hanging="360"/>
      </w:pPr>
    </w:lvl>
    <w:lvl w:ilvl="8" w:tentative="0">
      <w:start w:val="1"/>
      <w:numFmt w:val="lowerRoman"/>
      <w:lvlText w:val="%9."/>
      <w:lvlJc w:val="right"/>
      <w:pPr>
        <w:tabs>
          <w:tab w:val="left" w:pos="5487"/>
        </w:tabs>
        <w:ind w:left="5487" w:hanging="180"/>
      </w:pPr>
    </w:lvl>
  </w:abstractNum>
  <w:abstractNum w:abstractNumId="5">
    <w:nsid w:val="47526270"/>
    <w:multiLevelType w:val="multilevel"/>
    <w:tmpl w:val="47526270"/>
    <w:lvl w:ilvl="0" w:tentative="0">
      <w:start w:val="1"/>
      <w:numFmt w:val="decimal"/>
      <w:pStyle w:val="31"/>
      <w:lvlText w:val="Observation %1 "/>
      <w:lvlJc w:val="left"/>
      <w:pPr>
        <w:ind w:left="360" w:hanging="360"/>
      </w:pPr>
      <w:rPr>
        <w:rFonts w:cs="Times New Roman"/>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2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97346"/>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45D40"/>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1B43DAE"/>
    <w:rsid w:val="02461CE8"/>
    <w:rsid w:val="0255014D"/>
    <w:rsid w:val="02E26342"/>
    <w:rsid w:val="03132E98"/>
    <w:rsid w:val="03155805"/>
    <w:rsid w:val="03255B8A"/>
    <w:rsid w:val="03791589"/>
    <w:rsid w:val="038A1F16"/>
    <w:rsid w:val="03C030A6"/>
    <w:rsid w:val="03C85832"/>
    <w:rsid w:val="03D1389E"/>
    <w:rsid w:val="03EA031D"/>
    <w:rsid w:val="03EB30B9"/>
    <w:rsid w:val="0450049F"/>
    <w:rsid w:val="04621AE7"/>
    <w:rsid w:val="048B4CCD"/>
    <w:rsid w:val="04A37BF0"/>
    <w:rsid w:val="04EA2E17"/>
    <w:rsid w:val="057F2A9E"/>
    <w:rsid w:val="05875BE2"/>
    <w:rsid w:val="05A012C8"/>
    <w:rsid w:val="05A80549"/>
    <w:rsid w:val="06181747"/>
    <w:rsid w:val="0666580E"/>
    <w:rsid w:val="06747FE9"/>
    <w:rsid w:val="06AF1FDE"/>
    <w:rsid w:val="06B3590D"/>
    <w:rsid w:val="06B904C4"/>
    <w:rsid w:val="07C119BB"/>
    <w:rsid w:val="08022166"/>
    <w:rsid w:val="082606C8"/>
    <w:rsid w:val="083264C4"/>
    <w:rsid w:val="08FD199B"/>
    <w:rsid w:val="09BD074F"/>
    <w:rsid w:val="09C1778E"/>
    <w:rsid w:val="0A1469F1"/>
    <w:rsid w:val="0A173D8A"/>
    <w:rsid w:val="0A4B7DA9"/>
    <w:rsid w:val="0A4F1C2D"/>
    <w:rsid w:val="0A5B225F"/>
    <w:rsid w:val="0ACA360D"/>
    <w:rsid w:val="0B832C7E"/>
    <w:rsid w:val="0C081E4F"/>
    <w:rsid w:val="0C400020"/>
    <w:rsid w:val="0C8E50E6"/>
    <w:rsid w:val="0C9F335A"/>
    <w:rsid w:val="0CA50E27"/>
    <w:rsid w:val="0CC05689"/>
    <w:rsid w:val="0CD5224C"/>
    <w:rsid w:val="0CE06B7C"/>
    <w:rsid w:val="0CF86FE6"/>
    <w:rsid w:val="0D483858"/>
    <w:rsid w:val="0D85581D"/>
    <w:rsid w:val="0D860C9D"/>
    <w:rsid w:val="0D8B5CFF"/>
    <w:rsid w:val="0DA306EE"/>
    <w:rsid w:val="0DB000AE"/>
    <w:rsid w:val="0E5765A3"/>
    <w:rsid w:val="0E8D11A7"/>
    <w:rsid w:val="0EB6348F"/>
    <w:rsid w:val="0EBA2011"/>
    <w:rsid w:val="0F180E91"/>
    <w:rsid w:val="0FAE538F"/>
    <w:rsid w:val="10264FE3"/>
    <w:rsid w:val="10361382"/>
    <w:rsid w:val="104A4F58"/>
    <w:rsid w:val="107A696A"/>
    <w:rsid w:val="10A14B01"/>
    <w:rsid w:val="10DD7F3C"/>
    <w:rsid w:val="10FB0CE3"/>
    <w:rsid w:val="110171B2"/>
    <w:rsid w:val="111D54A2"/>
    <w:rsid w:val="117E69F3"/>
    <w:rsid w:val="117F32F3"/>
    <w:rsid w:val="11903A62"/>
    <w:rsid w:val="11A6405B"/>
    <w:rsid w:val="122F4F52"/>
    <w:rsid w:val="12466AA8"/>
    <w:rsid w:val="12C147FF"/>
    <w:rsid w:val="131169EE"/>
    <w:rsid w:val="13127862"/>
    <w:rsid w:val="13151B1A"/>
    <w:rsid w:val="13392934"/>
    <w:rsid w:val="137E747D"/>
    <w:rsid w:val="13827D96"/>
    <w:rsid w:val="139B2302"/>
    <w:rsid w:val="139F4EFF"/>
    <w:rsid w:val="13F07C78"/>
    <w:rsid w:val="146F6048"/>
    <w:rsid w:val="14D935F9"/>
    <w:rsid w:val="14E836E8"/>
    <w:rsid w:val="151B0A62"/>
    <w:rsid w:val="156408BB"/>
    <w:rsid w:val="15BD1BCA"/>
    <w:rsid w:val="15BE553B"/>
    <w:rsid w:val="15D41B07"/>
    <w:rsid w:val="16A3322F"/>
    <w:rsid w:val="16CF459E"/>
    <w:rsid w:val="17074B03"/>
    <w:rsid w:val="172A40AD"/>
    <w:rsid w:val="17855067"/>
    <w:rsid w:val="17AB383B"/>
    <w:rsid w:val="17CD5A7B"/>
    <w:rsid w:val="186458F6"/>
    <w:rsid w:val="187A66B9"/>
    <w:rsid w:val="18991B4E"/>
    <w:rsid w:val="18C85401"/>
    <w:rsid w:val="19231DCF"/>
    <w:rsid w:val="195B48D4"/>
    <w:rsid w:val="196D01DD"/>
    <w:rsid w:val="19891D7C"/>
    <w:rsid w:val="19C36B77"/>
    <w:rsid w:val="1A156560"/>
    <w:rsid w:val="1AA84B44"/>
    <w:rsid w:val="1AA967FF"/>
    <w:rsid w:val="1B2978D6"/>
    <w:rsid w:val="1B397314"/>
    <w:rsid w:val="1B3A4D75"/>
    <w:rsid w:val="1C3B3CF0"/>
    <w:rsid w:val="1C583E4C"/>
    <w:rsid w:val="1C744039"/>
    <w:rsid w:val="1C973F42"/>
    <w:rsid w:val="1CDF56BD"/>
    <w:rsid w:val="1D210E13"/>
    <w:rsid w:val="1DC7304C"/>
    <w:rsid w:val="1EE93A34"/>
    <w:rsid w:val="1EF9755C"/>
    <w:rsid w:val="1F2714DB"/>
    <w:rsid w:val="1F5F18B4"/>
    <w:rsid w:val="1F710DFF"/>
    <w:rsid w:val="1FCC76E8"/>
    <w:rsid w:val="2007765C"/>
    <w:rsid w:val="20CF4C51"/>
    <w:rsid w:val="20F63843"/>
    <w:rsid w:val="2147227D"/>
    <w:rsid w:val="21586CEE"/>
    <w:rsid w:val="21884E0F"/>
    <w:rsid w:val="21A53892"/>
    <w:rsid w:val="222A45E7"/>
    <w:rsid w:val="22332BD6"/>
    <w:rsid w:val="22573FA0"/>
    <w:rsid w:val="22606FF6"/>
    <w:rsid w:val="226D6930"/>
    <w:rsid w:val="22790ABF"/>
    <w:rsid w:val="22944364"/>
    <w:rsid w:val="22B157E4"/>
    <w:rsid w:val="230513B0"/>
    <w:rsid w:val="234765F5"/>
    <w:rsid w:val="242F29EC"/>
    <w:rsid w:val="243F6F1F"/>
    <w:rsid w:val="24A10E6F"/>
    <w:rsid w:val="24AA1DE2"/>
    <w:rsid w:val="24C64503"/>
    <w:rsid w:val="25153F64"/>
    <w:rsid w:val="26151174"/>
    <w:rsid w:val="26C62375"/>
    <w:rsid w:val="26D479F9"/>
    <w:rsid w:val="2834796D"/>
    <w:rsid w:val="28890980"/>
    <w:rsid w:val="28ED25D3"/>
    <w:rsid w:val="292A089F"/>
    <w:rsid w:val="294843AB"/>
    <w:rsid w:val="2A732A24"/>
    <w:rsid w:val="2AEE177B"/>
    <w:rsid w:val="2B66051F"/>
    <w:rsid w:val="2BD001F4"/>
    <w:rsid w:val="2BEB6704"/>
    <w:rsid w:val="2C1A3B68"/>
    <w:rsid w:val="2C217E73"/>
    <w:rsid w:val="2DB17995"/>
    <w:rsid w:val="2E726C20"/>
    <w:rsid w:val="2F450740"/>
    <w:rsid w:val="2F6A7056"/>
    <w:rsid w:val="2F8D22F1"/>
    <w:rsid w:val="2FA10517"/>
    <w:rsid w:val="303A765E"/>
    <w:rsid w:val="30544136"/>
    <w:rsid w:val="30AB2D8C"/>
    <w:rsid w:val="30C86099"/>
    <w:rsid w:val="311D5EAF"/>
    <w:rsid w:val="314B168B"/>
    <w:rsid w:val="319501C0"/>
    <w:rsid w:val="31F0278F"/>
    <w:rsid w:val="32207F66"/>
    <w:rsid w:val="32810083"/>
    <w:rsid w:val="32A62B33"/>
    <w:rsid w:val="335A5F2C"/>
    <w:rsid w:val="33876FC5"/>
    <w:rsid w:val="33C24DB0"/>
    <w:rsid w:val="346967B2"/>
    <w:rsid w:val="346A59E0"/>
    <w:rsid w:val="347B64AA"/>
    <w:rsid w:val="34E40284"/>
    <w:rsid w:val="35054BC6"/>
    <w:rsid w:val="366714B8"/>
    <w:rsid w:val="36B35447"/>
    <w:rsid w:val="36E2635F"/>
    <w:rsid w:val="36F84B57"/>
    <w:rsid w:val="37314534"/>
    <w:rsid w:val="377B7807"/>
    <w:rsid w:val="37E637C2"/>
    <w:rsid w:val="38682C39"/>
    <w:rsid w:val="38FC32F5"/>
    <w:rsid w:val="39030A9D"/>
    <w:rsid w:val="3972643A"/>
    <w:rsid w:val="397F6C58"/>
    <w:rsid w:val="398F777C"/>
    <w:rsid w:val="3A566011"/>
    <w:rsid w:val="3A973408"/>
    <w:rsid w:val="3ADB192E"/>
    <w:rsid w:val="3B0B5FE3"/>
    <w:rsid w:val="3B6A0E0C"/>
    <w:rsid w:val="3BCE0A9F"/>
    <w:rsid w:val="3BF2635D"/>
    <w:rsid w:val="3C091D5B"/>
    <w:rsid w:val="3C495977"/>
    <w:rsid w:val="3C5F47CA"/>
    <w:rsid w:val="3C7A1448"/>
    <w:rsid w:val="3CB6166C"/>
    <w:rsid w:val="3D4C5BA8"/>
    <w:rsid w:val="3DBE5F2E"/>
    <w:rsid w:val="3E10066E"/>
    <w:rsid w:val="3E184939"/>
    <w:rsid w:val="3E276D8A"/>
    <w:rsid w:val="3E330CD1"/>
    <w:rsid w:val="3E470896"/>
    <w:rsid w:val="3E6470A7"/>
    <w:rsid w:val="3ECD0998"/>
    <w:rsid w:val="3ED508CA"/>
    <w:rsid w:val="3ED60A76"/>
    <w:rsid w:val="3EE468C4"/>
    <w:rsid w:val="3F4B4F44"/>
    <w:rsid w:val="3F512AFA"/>
    <w:rsid w:val="3F51636B"/>
    <w:rsid w:val="3FA42170"/>
    <w:rsid w:val="3FAF36DB"/>
    <w:rsid w:val="3FDA3B33"/>
    <w:rsid w:val="40260C02"/>
    <w:rsid w:val="403726B3"/>
    <w:rsid w:val="405F4777"/>
    <w:rsid w:val="406A14B3"/>
    <w:rsid w:val="4161264A"/>
    <w:rsid w:val="419D5AE5"/>
    <w:rsid w:val="41A67DC1"/>
    <w:rsid w:val="42196CD0"/>
    <w:rsid w:val="42287095"/>
    <w:rsid w:val="423E4A40"/>
    <w:rsid w:val="428A7759"/>
    <w:rsid w:val="42A012DD"/>
    <w:rsid w:val="43146FF6"/>
    <w:rsid w:val="4322191D"/>
    <w:rsid w:val="4341740F"/>
    <w:rsid w:val="43A240C0"/>
    <w:rsid w:val="45135517"/>
    <w:rsid w:val="452E3D17"/>
    <w:rsid w:val="454F3145"/>
    <w:rsid w:val="4599227F"/>
    <w:rsid w:val="46182275"/>
    <w:rsid w:val="469D6230"/>
    <w:rsid w:val="46CC74DD"/>
    <w:rsid w:val="46F9269B"/>
    <w:rsid w:val="46FE4C6E"/>
    <w:rsid w:val="470C7F24"/>
    <w:rsid w:val="47507E33"/>
    <w:rsid w:val="47734761"/>
    <w:rsid w:val="479A0046"/>
    <w:rsid w:val="47C00BA0"/>
    <w:rsid w:val="47C04462"/>
    <w:rsid w:val="48531140"/>
    <w:rsid w:val="48A948EB"/>
    <w:rsid w:val="48BC1DD5"/>
    <w:rsid w:val="49497804"/>
    <w:rsid w:val="497C541E"/>
    <w:rsid w:val="49896A5E"/>
    <w:rsid w:val="49992B59"/>
    <w:rsid w:val="499D41C3"/>
    <w:rsid w:val="4A431848"/>
    <w:rsid w:val="4AA86718"/>
    <w:rsid w:val="4AAF67F2"/>
    <w:rsid w:val="4AFB26DE"/>
    <w:rsid w:val="4B852C0F"/>
    <w:rsid w:val="4B895932"/>
    <w:rsid w:val="4C47180E"/>
    <w:rsid w:val="4CB0014F"/>
    <w:rsid w:val="4D1975F1"/>
    <w:rsid w:val="4D7164BA"/>
    <w:rsid w:val="4E157B9D"/>
    <w:rsid w:val="4E2015E5"/>
    <w:rsid w:val="4E340AA2"/>
    <w:rsid w:val="4E6C7033"/>
    <w:rsid w:val="4F4D0BF0"/>
    <w:rsid w:val="4F4D5839"/>
    <w:rsid w:val="507F3F74"/>
    <w:rsid w:val="510123D8"/>
    <w:rsid w:val="51014CE2"/>
    <w:rsid w:val="511E613F"/>
    <w:rsid w:val="514810C1"/>
    <w:rsid w:val="51D51D50"/>
    <w:rsid w:val="52896A00"/>
    <w:rsid w:val="528B1069"/>
    <w:rsid w:val="52996503"/>
    <w:rsid w:val="52CE653A"/>
    <w:rsid w:val="530214BD"/>
    <w:rsid w:val="532E73C1"/>
    <w:rsid w:val="534B54F9"/>
    <w:rsid w:val="53507E24"/>
    <w:rsid w:val="53D170F4"/>
    <w:rsid w:val="545F13F9"/>
    <w:rsid w:val="54702F19"/>
    <w:rsid w:val="5499667F"/>
    <w:rsid w:val="54CA02A1"/>
    <w:rsid w:val="55186063"/>
    <w:rsid w:val="555073E9"/>
    <w:rsid w:val="558621F3"/>
    <w:rsid w:val="56463077"/>
    <w:rsid w:val="56581D59"/>
    <w:rsid w:val="56644961"/>
    <w:rsid w:val="567F575F"/>
    <w:rsid w:val="572362E5"/>
    <w:rsid w:val="57807CD3"/>
    <w:rsid w:val="57862F1A"/>
    <w:rsid w:val="57BF4DD6"/>
    <w:rsid w:val="5A000421"/>
    <w:rsid w:val="5A055D9D"/>
    <w:rsid w:val="5A0A3327"/>
    <w:rsid w:val="5A276CF7"/>
    <w:rsid w:val="5A2F5AF5"/>
    <w:rsid w:val="5A5E13CF"/>
    <w:rsid w:val="5ABC0F91"/>
    <w:rsid w:val="5AC669A8"/>
    <w:rsid w:val="5AFF7905"/>
    <w:rsid w:val="5B0B08CE"/>
    <w:rsid w:val="5B492C91"/>
    <w:rsid w:val="5B6D2D04"/>
    <w:rsid w:val="5B9B13DC"/>
    <w:rsid w:val="5BBD7867"/>
    <w:rsid w:val="5BC51E7D"/>
    <w:rsid w:val="5C1F43A8"/>
    <w:rsid w:val="5C8D6729"/>
    <w:rsid w:val="5CDA1ED9"/>
    <w:rsid w:val="5CF3268D"/>
    <w:rsid w:val="5D392E01"/>
    <w:rsid w:val="5D525B04"/>
    <w:rsid w:val="5DA90F9E"/>
    <w:rsid w:val="5DDB3786"/>
    <w:rsid w:val="5E2F4D84"/>
    <w:rsid w:val="5E311463"/>
    <w:rsid w:val="5E4B1C45"/>
    <w:rsid w:val="5EB91C93"/>
    <w:rsid w:val="5EC55E0B"/>
    <w:rsid w:val="5EF53A2C"/>
    <w:rsid w:val="5F196017"/>
    <w:rsid w:val="5F600D4E"/>
    <w:rsid w:val="5F9A6CAD"/>
    <w:rsid w:val="5FCD48D2"/>
    <w:rsid w:val="60392073"/>
    <w:rsid w:val="60906AE0"/>
    <w:rsid w:val="60C06ECB"/>
    <w:rsid w:val="60D23418"/>
    <w:rsid w:val="60EF4197"/>
    <w:rsid w:val="61250DED"/>
    <w:rsid w:val="619C104C"/>
    <w:rsid w:val="61B473D7"/>
    <w:rsid w:val="61C03014"/>
    <w:rsid w:val="61EE238F"/>
    <w:rsid w:val="6226148A"/>
    <w:rsid w:val="627F0281"/>
    <w:rsid w:val="62864121"/>
    <w:rsid w:val="628D6807"/>
    <w:rsid w:val="6298421A"/>
    <w:rsid w:val="632679EE"/>
    <w:rsid w:val="63827E71"/>
    <w:rsid w:val="63F02F1C"/>
    <w:rsid w:val="642F6D78"/>
    <w:rsid w:val="643B0F23"/>
    <w:rsid w:val="64561575"/>
    <w:rsid w:val="646506BC"/>
    <w:rsid w:val="647B68E6"/>
    <w:rsid w:val="648604FA"/>
    <w:rsid w:val="64B9753D"/>
    <w:rsid w:val="65814211"/>
    <w:rsid w:val="65CE663C"/>
    <w:rsid w:val="65D2271B"/>
    <w:rsid w:val="65DA157B"/>
    <w:rsid w:val="65EA0428"/>
    <w:rsid w:val="65EB3645"/>
    <w:rsid w:val="660E4242"/>
    <w:rsid w:val="66632110"/>
    <w:rsid w:val="66740347"/>
    <w:rsid w:val="67154493"/>
    <w:rsid w:val="671B1BFB"/>
    <w:rsid w:val="677038E2"/>
    <w:rsid w:val="677C5A21"/>
    <w:rsid w:val="67B30F7E"/>
    <w:rsid w:val="67B33813"/>
    <w:rsid w:val="683A1C10"/>
    <w:rsid w:val="684E5971"/>
    <w:rsid w:val="68680DEB"/>
    <w:rsid w:val="68990E6F"/>
    <w:rsid w:val="68A437B4"/>
    <w:rsid w:val="68D167A9"/>
    <w:rsid w:val="69293200"/>
    <w:rsid w:val="694347AF"/>
    <w:rsid w:val="694D3495"/>
    <w:rsid w:val="694F06EB"/>
    <w:rsid w:val="695B7632"/>
    <w:rsid w:val="69A94906"/>
    <w:rsid w:val="69F1243D"/>
    <w:rsid w:val="6A0A4C65"/>
    <w:rsid w:val="6A0C1FAC"/>
    <w:rsid w:val="6A5C267E"/>
    <w:rsid w:val="6AB95515"/>
    <w:rsid w:val="6ADF190A"/>
    <w:rsid w:val="6B0345BB"/>
    <w:rsid w:val="6B7F32AD"/>
    <w:rsid w:val="6BCE3F77"/>
    <w:rsid w:val="6BD679D7"/>
    <w:rsid w:val="6BE35659"/>
    <w:rsid w:val="6C383767"/>
    <w:rsid w:val="6CEE64F9"/>
    <w:rsid w:val="6D0754FE"/>
    <w:rsid w:val="6D6504CA"/>
    <w:rsid w:val="6DC04E92"/>
    <w:rsid w:val="6E06444D"/>
    <w:rsid w:val="6E302275"/>
    <w:rsid w:val="6E5B6E13"/>
    <w:rsid w:val="6F0E5430"/>
    <w:rsid w:val="6F223B7C"/>
    <w:rsid w:val="6F3A08D8"/>
    <w:rsid w:val="6F733D75"/>
    <w:rsid w:val="6F7C03AE"/>
    <w:rsid w:val="70064243"/>
    <w:rsid w:val="701117D9"/>
    <w:rsid w:val="70266EE6"/>
    <w:rsid w:val="705A1CBC"/>
    <w:rsid w:val="714C2E86"/>
    <w:rsid w:val="718D7540"/>
    <w:rsid w:val="719022A1"/>
    <w:rsid w:val="71997F32"/>
    <w:rsid w:val="71A56EDE"/>
    <w:rsid w:val="71C00C42"/>
    <w:rsid w:val="71EC5D47"/>
    <w:rsid w:val="72627969"/>
    <w:rsid w:val="72D9587E"/>
    <w:rsid w:val="72F524A8"/>
    <w:rsid w:val="732872C5"/>
    <w:rsid w:val="73533A44"/>
    <w:rsid w:val="739D7BC9"/>
    <w:rsid w:val="739E75C7"/>
    <w:rsid w:val="73DC3B57"/>
    <w:rsid w:val="742D45D4"/>
    <w:rsid w:val="74695567"/>
    <w:rsid w:val="7471027B"/>
    <w:rsid w:val="748700BD"/>
    <w:rsid w:val="74A27718"/>
    <w:rsid w:val="74AE06DD"/>
    <w:rsid w:val="75360E0B"/>
    <w:rsid w:val="75457021"/>
    <w:rsid w:val="75B026E7"/>
    <w:rsid w:val="75E04286"/>
    <w:rsid w:val="766172D7"/>
    <w:rsid w:val="766C7048"/>
    <w:rsid w:val="76743654"/>
    <w:rsid w:val="770179E7"/>
    <w:rsid w:val="77206895"/>
    <w:rsid w:val="77CB79B2"/>
    <w:rsid w:val="780E7FC4"/>
    <w:rsid w:val="7816290E"/>
    <w:rsid w:val="783D5FD6"/>
    <w:rsid w:val="79112AAE"/>
    <w:rsid w:val="79535B0F"/>
    <w:rsid w:val="79C61A14"/>
    <w:rsid w:val="79F53325"/>
    <w:rsid w:val="7A6C0595"/>
    <w:rsid w:val="7A7F0F0D"/>
    <w:rsid w:val="7A806935"/>
    <w:rsid w:val="7A880884"/>
    <w:rsid w:val="7ACA607B"/>
    <w:rsid w:val="7ACC1B35"/>
    <w:rsid w:val="7B01521A"/>
    <w:rsid w:val="7B8F68A7"/>
    <w:rsid w:val="7BFC23F6"/>
    <w:rsid w:val="7C626E51"/>
    <w:rsid w:val="7CB17922"/>
    <w:rsid w:val="7D0F2856"/>
    <w:rsid w:val="7D404724"/>
    <w:rsid w:val="7D576CBE"/>
    <w:rsid w:val="7D8172FD"/>
    <w:rsid w:val="7DC825B4"/>
    <w:rsid w:val="7E0C0193"/>
    <w:rsid w:val="7E886BD8"/>
    <w:rsid w:val="7E947EBC"/>
    <w:rsid w:val="7EFA0C1D"/>
    <w:rsid w:val="7F3466EA"/>
    <w:rsid w:val="7F376A18"/>
    <w:rsid w:val="7F7A668F"/>
    <w:rsid w:val="7FC5542C"/>
    <w:rsid w:val="7FF1081E"/>
    <w:rsid w:val="7FF93D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99"/>
    <w:pPr>
      <w:jc w:val="left"/>
    </w:pPr>
  </w:style>
  <w:style w:type="paragraph" w:styleId="6">
    <w:name w:val="Body Text"/>
    <w:basedOn w:val="1"/>
    <w:qFormat/>
    <w:uiPriority w:val="0"/>
    <w:pPr>
      <w:spacing w:after="120"/>
    </w:pPr>
    <w:rPr>
      <w:rFonts w:eastAsia="MS Mincho"/>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paragraph" w:styleId="10">
    <w:name w:val="Normal (Web)"/>
    <w:basedOn w:val="1"/>
    <w:unhideWhenUsed/>
    <w:qFormat/>
    <w:uiPriority w:val="99"/>
    <w:pPr>
      <w:widowControl/>
      <w:autoSpaceDE/>
      <w:autoSpaceDN/>
      <w:adjustRightInd/>
      <w:spacing w:before="100" w:beforeAutospacing="1" w:after="100" w:afterAutospacing="1"/>
      <w:jc w:val="left"/>
      <w:textAlignment w:val="auto"/>
    </w:pPr>
    <w:rPr>
      <w:rFonts w:ascii="宋体" w:hAnsi="宋体" w:cs="宋体"/>
      <w:szCs w:val="24"/>
    </w:rPr>
  </w:style>
  <w:style w:type="paragraph" w:styleId="11">
    <w:name w:val="annotation subject"/>
    <w:basedOn w:val="5"/>
    <w:next w:val="5"/>
    <w:link w:val="26"/>
    <w:semiHidden/>
    <w:unhideWhenUsed/>
    <w:qFormat/>
    <w:uiPriority w:val="99"/>
    <w:rPr>
      <w:b/>
      <w:bCs/>
    </w:rPr>
  </w:style>
  <w:style w:type="table" w:styleId="13">
    <w:name w:val="Table Grid"/>
    <w:basedOn w:val="1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qFormat/>
    <w:uiPriority w:val="20"/>
    <w:rPr>
      <w:i/>
      <w:iCs/>
    </w:rPr>
  </w:style>
  <w:style w:type="character" w:styleId="16">
    <w:name w:val="Hyperlink"/>
    <w:qFormat/>
    <w:uiPriority w:val="99"/>
    <w:rPr>
      <w:color w:val="0000FF"/>
      <w:u w:val="single"/>
    </w:rPr>
  </w:style>
  <w:style w:type="character" w:styleId="17">
    <w:name w:val="annotation reference"/>
    <w:basedOn w:val="14"/>
    <w:qFormat/>
    <w:uiPriority w:val="0"/>
    <w:rPr>
      <w:sz w:val="21"/>
      <w:szCs w:val="21"/>
    </w:r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9"/>
    <w:qFormat/>
    <w:uiPriority w:val="0"/>
  </w:style>
  <w:style w:type="paragraph" w:customStyle="1" w:styleId="24">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4"/>
    <w:link w:val="5"/>
    <w:qFormat/>
    <w:uiPriority w:val="99"/>
    <w:rPr>
      <w:rFonts w:asciiTheme="minorHAnsi" w:hAnsiTheme="minorHAnsi" w:eastAsiaTheme="minorEastAsia" w:cstheme="minorBidi"/>
      <w:kern w:val="2"/>
      <w:sz w:val="21"/>
      <w:szCs w:val="22"/>
    </w:rPr>
  </w:style>
  <w:style w:type="character" w:customStyle="1" w:styleId="26">
    <w:name w:val="批注主题 字符"/>
    <w:basedOn w:val="25"/>
    <w:link w:val="11"/>
    <w:semiHidden/>
    <w:qFormat/>
    <w:uiPriority w:val="99"/>
    <w:rPr>
      <w:rFonts w:asciiTheme="minorHAnsi" w:hAnsiTheme="minorHAnsi" w:eastAsiaTheme="minorEastAsia" w:cstheme="minorBidi"/>
      <w:b/>
      <w:bCs/>
      <w:kern w:val="2"/>
      <w:sz w:val="21"/>
      <w:szCs w:val="22"/>
    </w:rPr>
  </w:style>
  <w:style w:type="paragraph" w:customStyle="1" w:styleId="27">
    <w:name w:val="Agreement"/>
    <w:basedOn w:val="1"/>
    <w:next w:val="28"/>
    <w:qFormat/>
    <w:uiPriority w:val="0"/>
    <w:pPr>
      <w:numPr>
        <w:ilvl w:val="0"/>
        <w:numId w:val="1"/>
      </w:numPr>
      <w:tabs>
        <w:tab w:val="left" w:pos="1619"/>
      </w:tabs>
      <w:spacing w:before="60"/>
      <w:ind w:left="1616" w:hanging="357"/>
    </w:pPr>
    <w:rPr>
      <w:b/>
    </w:rPr>
  </w:style>
  <w:style w:type="paragraph" w:customStyle="1" w:styleId="28">
    <w:name w:val="Doc-text2"/>
    <w:basedOn w:val="1"/>
    <w:qFormat/>
    <w:uiPriority w:val="0"/>
    <w:pPr>
      <w:tabs>
        <w:tab w:val="left" w:pos="1622"/>
      </w:tabs>
      <w:ind w:left="1622" w:hanging="363"/>
    </w:pPr>
  </w:style>
  <w:style w:type="paragraph" w:customStyle="1" w:styleId="2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0">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1">
    <w:name w:val="Observation"/>
    <w:basedOn w:val="1"/>
    <w:qFormat/>
    <w:uiPriority w:val="0"/>
    <w:pPr>
      <w:numPr>
        <w:ilvl w:val="0"/>
        <w:numId w:val="2"/>
      </w:numPr>
      <w:spacing w:after="120"/>
      <w:ind w:left="1701" w:hanging="1701"/>
      <w:jc w:val="both"/>
    </w:pPr>
    <w:rPr>
      <w:b/>
      <w:lang w:eastAsia="zh-CN"/>
    </w:rPr>
  </w:style>
  <w:style w:type="paragraph" w:customStyle="1" w:styleId="32">
    <w:name w:val="Proposal"/>
    <w:basedOn w:val="1"/>
    <w:qFormat/>
    <w:uiPriority w:val="0"/>
    <w:pPr>
      <w:numPr>
        <w:ilvl w:val="0"/>
        <w:numId w:val="3"/>
      </w:numPr>
      <w:tabs>
        <w:tab w:val="left" w:pos="1701"/>
      </w:tabs>
      <w:spacing w:after="120"/>
      <w:jc w:val="both"/>
    </w:pPr>
    <w:rPr>
      <w:b/>
      <w:bCs/>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1</TotalTime>
  <ScaleCrop>false</ScaleCrop>
  <LinksUpToDate>false</LinksUpToDate>
  <CharactersWithSpaces>18033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cp:lastModifiedBy>
  <dcterms:modified xsi:type="dcterms:W3CDTF">2023-09-28T09:02:58Z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31945A0DCDCA4152B07A074FD3969812</vt:lpwstr>
  </property>
</Properties>
</file>